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CB2E7B" w:rsidRDefault="00C02AF0" w:rsidP="00625340">
      <w:pPr>
        <w:spacing w:after="0" w:line="360" w:lineRule="auto"/>
        <w:jc w:val="both"/>
        <w:rPr>
          <w:rFonts w:ascii="Palatino Linotype" w:hAnsi="Palatino Linotype" w:cs="Arial"/>
          <w:b/>
          <w:sz w:val="24"/>
          <w:szCs w:val="24"/>
        </w:rPr>
      </w:pPr>
      <w:r w:rsidRPr="00CB2E7B">
        <w:rPr>
          <w:rFonts w:ascii="Palatino Linotype" w:hAnsi="Palatino Linotype" w:cs="Arial"/>
          <w:b/>
          <w:sz w:val="24"/>
          <w:szCs w:val="24"/>
        </w:rPr>
        <w:t>VOTO</w:t>
      </w:r>
      <w:r w:rsidR="00625340" w:rsidRPr="00CB2E7B">
        <w:rPr>
          <w:rFonts w:ascii="Palatino Linotype" w:hAnsi="Palatino Linotype" w:cs="Arial"/>
          <w:b/>
          <w:sz w:val="24"/>
          <w:szCs w:val="24"/>
        </w:rPr>
        <w:t xml:space="preserve"> PARTICULAR DEL COMISIONADO JOSÉ GUADALUPE LUNA HERNÁNDEZ EN EL RECURSO DE REVISIÓN </w:t>
      </w:r>
      <w:r w:rsidR="00213DF0">
        <w:rPr>
          <w:rFonts w:ascii="Palatino Linotype" w:hAnsi="Palatino Linotype" w:cs="Arial"/>
          <w:b/>
          <w:sz w:val="24"/>
          <w:szCs w:val="24"/>
        </w:rPr>
        <w:t>04279</w:t>
      </w:r>
      <w:r w:rsidR="00625340" w:rsidRPr="00CB2E7B">
        <w:rPr>
          <w:rFonts w:ascii="Palatino Linotype" w:hAnsi="Palatino Linotype" w:cs="Arial"/>
          <w:b/>
          <w:sz w:val="24"/>
          <w:szCs w:val="24"/>
        </w:rPr>
        <w:t>/INFOEM/IP/RR/201</w:t>
      </w:r>
      <w:r w:rsidR="00C142A8" w:rsidRPr="00CB2E7B">
        <w:rPr>
          <w:rFonts w:ascii="Palatino Linotype" w:hAnsi="Palatino Linotype" w:cs="Arial"/>
          <w:b/>
          <w:sz w:val="24"/>
          <w:szCs w:val="24"/>
        </w:rPr>
        <w:t>8</w:t>
      </w:r>
      <w:r w:rsidR="00D42114" w:rsidRPr="00CB2E7B">
        <w:rPr>
          <w:rFonts w:ascii="Palatino Linotype" w:hAnsi="Palatino Linotype" w:cs="Arial"/>
          <w:b/>
          <w:sz w:val="24"/>
          <w:szCs w:val="24"/>
        </w:rPr>
        <w:t>.</w:t>
      </w:r>
    </w:p>
    <w:p w:rsidR="00625340" w:rsidRPr="00CB2E7B" w:rsidRDefault="00625340" w:rsidP="00625340">
      <w:pPr>
        <w:spacing w:after="0" w:line="360" w:lineRule="auto"/>
        <w:jc w:val="both"/>
        <w:rPr>
          <w:rFonts w:ascii="Palatino Linotype" w:hAnsi="Palatino Linotype" w:cs="Arial"/>
          <w:b/>
          <w:sz w:val="24"/>
          <w:szCs w:val="24"/>
        </w:rPr>
      </w:pPr>
    </w:p>
    <w:p w:rsidR="003B4A57" w:rsidRDefault="002D5499" w:rsidP="003B4A57">
      <w:pPr>
        <w:spacing w:after="0" w:line="360" w:lineRule="auto"/>
        <w:jc w:val="both"/>
        <w:rPr>
          <w:rFonts w:ascii="Palatino Linotype" w:eastAsia="Calibri" w:hAnsi="Palatino Linotype" w:cs="Arial"/>
          <w:sz w:val="24"/>
          <w:szCs w:val="24"/>
        </w:rPr>
      </w:pPr>
      <w:r w:rsidRPr="00CB2E7B">
        <w:rPr>
          <w:rFonts w:ascii="Palatino Linotype" w:hAnsi="Palatino Linotype" w:cs="Arial"/>
          <w:b/>
          <w:sz w:val="24"/>
          <w:szCs w:val="24"/>
        </w:rPr>
        <w:t>Resumen del voto</w:t>
      </w:r>
      <w:r w:rsidR="00625340" w:rsidRPr="00CB2E7B">
        <w:rPr>
          <w:rFonts w:ascii="Palatino Linotype" w:hAnsi="Palatino Linotype" w:cs="Arial"/>
          <w:b/>
          <w:sz w:val="24"/>
          <w:szCs w:val="24"/>
        </w:rPr>
        <w:t>:</w:t>
      </w:r>
      <w:r w:rsidR="00F7333F" w:rsidRPr="00CB2E7B">
        <w:rPr>
          <w:rFonts w:ascii="Palatino Linotype" w:hAnsi="Palatino Linotype" w:cs="Arial"/>
          <w:b/>
          <w:sz w:val="24"/>
          <w:szCs w:val="24"/>
        </w:rPr>
        <w:t xml:space="preserve"> </w:t>
      </w:r>
      <w:r w:rsidR="003B4A57" w:rsidRPr="00427B79">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r w:rsidR="003B4A57">
        <w:rPr>
          <w:rFonts w:ascii="Palatino Linotype" w:eastAsia="Calibri" w:hAnsi="Palatino Linotype" w:cs="Arial"/>
          <w:sz w:val="24"/>
          <w:szCs w:val="24"/>
        </w:rPr>
        <w:t xml:space="preserve"> </w:t>
      </w:r>
    </w:p>
    <w:p w:rsidR="00F72F39" w:rsidRDefault="00F72F39" w:rsidP="003B4A57">
      <w:pPr>
        <w:spacing w:after="0" w:line="360" w:lineRule="auto"/>
        <w:jc w:val="both"/>
        <w:rPr>
          <w:rFonts w:ascii="Palatino Linotype" w:eastAsia="Calibri" w:hAnsi="Palatino Linotype" w:cs="Arial"/>
          <w:sz w:val="24"/>
          <w:szCs w:val="24"/>
        </w:rPr>
      </w:pPr>
    </w:p>
    <w:p w:rsidR="00184A6D" w:rsidRDefault="00B82949" w:rsidP="003B4A57">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Los Sujetos Obligados en el ámbito de sus competencias, atribuciones y funciones deben dar atención a las solicitudes y a su vez permitir de manera eficiente el acceso a la información al mismo tiempo de que deben proteger los datos personales que tengan en su posesión, para lo cual deben informar en que asuntos procede una clasificación de la información, más no así, que este Órgano Garante sea quien determine cuando pudiera existir una causal de clasificación.</w:t>
      </w:r>
    </w:p>
    <w:p w:rsidR="00184A6D" w:rsidRDefault="00184A6D" w:rsidP="003B4A57">
      <w:pPr>
        <w:spacing w:after="0" w:line="360" w:lineRule="auto"/>
        <w:jc w:val="both"/>
        <w:rPr>
          <w:rFonts w:ascii="Palatino Linotype" w:eastAsia="Calibri" w:hAnsi="Palatino Linotype" w:cs="Arial"/>
          <w:sz w:val="24"/>
          <w:szCs w:val="24"/>
        </w:rPr>
      </w:pPr>
    </w:p>
    <w:p w:rsidR="00184A6D" w:rsidRPr="00B22B30" w:rsidRDefault="00184A6D" w:rsidP="003B4A57">
      <w:pPr>
        <w:spacing w:after="0" w:line="360" w:lineRule="auto"/>
        <w:jc w:val="both"/>
        <w:rPr>
          <w:rFonts w:ascii="Palatino Linotype" w:hAnsi="Palatino Linotype" w:cs="Arial"/>
          <w:sz w:val="24"/>
          <w:szCs w:val="24"/>
        </w:rPr>
      </w:pPr>
    </w:p>
    <w:p w:rsidR="003B4A57" w:rsidRPr="00CB2E7B" w:rsidRDefault="003B4A57" w:rsidP="00625340">
      <w:pPr>
        <w:spacing w:after="0" w:line="360" w:lineRule="auto"/>
        <w:jc w:val="both"/>
        <w:rPr>
          <w:rFonts w:ascii="Palatino Linotype" w:hAnsi="Palatino Linotype" w:cs="Arial"/>
          <w:sz w:val="24"/>
          <w:szCs w:val="24"/>
        </w:rPr>
      </w:pPr>
    </w:p>
    <w:p w:rsidR="00C54DC0" w:rsidRDefault="00C54DC0" w:rsidP="00625340">
      <w:pPr>
        <w:spacing w:after="0" w:line="360" w:lineRule="auto"/>
        <w:jc w:val="both"/>
        <w:rPr>
          <w:rFonts w:ascii="Palatino Linotype" w:hAnsi="Palatino Linotype" w:cs="Arial"/>
          <w:sz w:val="24"/>
          <w:szCs w:val="24"/>
        </w:rPr>
      </w:pPr>
    </w:p>
    <w:p w:rsidR="00F72F39" w:rsidRDefault="00F72F39" w:rsidP="00625340">
      <w:pPr>
        <w:spacing w:after="0" w:line="360" w:lineRule="auto"/>
        <w:jc w:val="both"/>
        <w:rPr>
          <w:rFonts w:ascii="Palatino Linotype" w:hAnsi="Palatino Linotype" w:cs="Arial"/>
          <w:sz w:val="24"/>
          <w:szCs w:val="24"/>
        </w:rPr>
      </w:pPr>
    </w:p>
    <w:p w:rsidR="00F72F39" w:rsidRPr="00CB2E7B" w:rsidRDefault="00F72F39" w:rsidP="00625340">
      <w:pPr>
        <w:spacing w:after="0" w:line="360" w:lineRule="auto"/>
        <w:jc w:val="both"/>
        <w:rPr>
          <w:rFonts w:ascii="Palatino Linotype" w:eastAsia="Calibri" w:hAnsi="Palatino Linotype" w:cs="Arial"/>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CB2E7B" w:rsidRDefault="00625340">
          <w:pPr>
            <w:pStyle w:val="TtulodeTDC"/>
            <w:rPr>
              <w:szCs w:val="24"/>
            </w:rPr>
          </w:pPr>
          <w:r w:rsidRPr="00CB2E7B">
            <w:rPr>
              <w:szCs w:val="24"/>
              <w:lang w:val="es-ES"/>
            </w:rPr>
            <w:t>Índice</w:t>
          </w:r>
        </w:p>
        <w:p w:rsidR="00B82949" w:rsidRDefault="00625340">
          <w:pPr>
            <w:pStyle w:val="TDC1"/>
            <w:tabs>
              <w:tab w:val="left" w:pos="440"/>
              <w:tab w:val="right" w:leader="dot" w:pos="8828"/>
            </w:tabs>
            <w:rPr>
              <w:rFonts w:eastAsiaTheme="minorEastAsia"/>
              <w:noProof/>
              <w:lang w:eastAsia="es-MX"/>
            </w:rPr>
          </w:pPr>
          <w:r w:rsidRPr="00CB2E7B">
            <w:rPr>
              <w:rFonts w:ascii="Palatino Linotype" w:hAnsi="Palatino Linotype"/>
              <w:b/>
              <w:sz w:val="24"/>
              <w:szCs w:val="24"/>
            </w:rPr>
            <w:fldChar w:fldCharType="begin"/>
          </w:r>
          <w:r w:rsidRPr="00CB2E7B">
            <w:rPr>
              <w:rFonts w:ascii="Palatino Linotype" w:hAnsi="Palatino Linotype"/>
              <w:b/>
              <w:sz w:val="24"/>
              <w:szCs w:val="24"/>
            </w:rPr>
            <w:instrText xml:space="preserve"> TOC \o "1-3" \h \z \u </w:instrText>
          </w:r>
          <w:r w:rsidRPr="00CB2E7B">
            <w:rPr>
              <w:rFonts w:ascii="Palatino Linotype" w:hAnsi="Palatino Linotype"/>
              <w:b/>
              <w:sz w:val="24"/>
              <w:szCs w:val="24"/>
            </w:rPr>
            <w:fldChar w:fldCharType="separate"/>
          </w:r>
          <w:hyperlink w:anchor="_Toc273072" w:history="1">
            <w:r w:rsidR="00B82949" w:rsidRPr="005816B3">
              <w:rPr>
                <w:rStyle w:val="Hipervnculo"/>
                <w:noProof/>
              </w:rPr>
              <w:t>A.</w:t>
            </w:r>
            <w:r w:rsidR="00B82949">
              <w:rPr>
                <w:rFonts w:eastAsiaTheme="minorEastAsia"/>
                <w:noProof/>
                <w:lang w:eastAsia="es-MX"/>
              </w:rPr>
              <w:tab/>
            </w:r>
            <w:r w:rsidR="00B82949" w:rsidRPr="005816B3">
              <w:rPr>
                <w:rStyle w:val="Hipervnculo"/>
                <w:noProof/>
              </w:rPr>
              <w:t>Consideraciones Generales.</w:t>
            </w:r>
            <w:r w:rsidR="00B82949">
              <w:rPr>
                <w:noProof/>
                <w:webHidden/>
              </w:rPr>
              <w:tab/>
            </w:r>
            <w:r w:rsidR="00B82949">
              <w:rPr>
                <w:noProof/>
                <w:webHidden/>
              </w:rPr>
              <w:fldChar w:fldCharType="begin"/>
            </w:r>
            <w:r w:rsidR="00B82949">
              <w:rPr>
                <w:noProof/>
                <w:webHidden/>
              </w:rPr>
              <w:instrText xml:space="preserve"> PAGEREF _Toc273072 \h </w:instrText>
            </w:r>
            <w:r w:rsidR="00B82949">
              <w:rPr>
                <w:noProof/>
                <w:webHidden/>
              </w:rPr>
            </w:r>
            <w:r w:rsidR="00B82949">
              <w:rPr>
                <w:noProof/>
                <w:webHidden/>
              </w:rPr>
              <w:fldChar w:fldCharType="separate"/>
            </w:r>
            <w:r w:rsidR="00B82949">
              <w:rPr>
                <w:noProof/>
                <w:webHidden/>
              </w:rPr>
              <w:t>3</w:t>
            </w:r>
            <w:r w:rsidR="00B82949">
              <w:rPr>
                <w:noProof/>
                <w:webHidden/>
              </w:rPr>
              <w:fldChar w:fldCharType="end"/>
            </w:r>
          </w:hyperlink>
        </w:p>
        <w:p w:rsidR="00B82949" w:rsidRDefault="00B82949">
          <w:pPr>
            <w:pStyle w:val="TDC1"/>
            <w:tabs>
              <w:tab w:val="left" w:pos="440"/>
              <w:tab w:val="right" w:leader="dot" w:pos="8828"/>
            </w:tabs>
            <w:rPr>
              <w:rFonts w:eastAsiaTheme="minorEastAsia"/>
              <w:noProof/>
              <w:lang w:eastAsia="es-MX"/>
            </w:rPr>
          </w:pPr>
          <w:hyperlink w:anchor="_Toc273073" w:history="1">
            <w:r w:rsidRPr="005816B3">
              <w:rPr>
                <w:rStyle w:val="Hipervnculo"/>
                <w:noProof/>
              </w:rPr>
              <w:t>B.</w:t>
            </w:r>
            <w:r>
              <w:rPr>
                <w:rFonts w:eastAsiaTheme="minorEastAsia"/>
                <w:noProof/>
                <w:lang w:eastAsia="es-MX"/>
              </w:rPr>
              <w:tab/>
            </w:r>
            <w:r w:rsidRPr="005816B3">
              <w:rPr>
                <w:rStyle w:val="Hipervnculo"/>
                <w:noProof/>
              </w:rPr>
              <w:t>Del Pronunciamiento Simple</w:t>
            </w:r>
            <w:r>
              <w:rPr>
                <w:noProof/>
                <w:webHidden/>
              </w:rPr>
              <w:tab/>
            </w:r>
            <w:r>
              <w:rPr>
                <w:noProof/>
                <w:webHidden/>
              </w:rPr>
              <w:fldChar w:fldCharType="begin"/>
            </w:r>
            <w:r>
              <w:rPr>
                <w:noProof/>
                <w:webHidden/>
              </w:rPr>
              <w:instrText xml:space="preserve"> PAGEREF _Toc273073 \h </w:instrText>
            </w:r>
            <w:r>
              <w:rPr>
                <w:noProof/>
                <w:webHidden/>
              </w:rPr>
            </w:r>
            <w:r>
              <w:rPr>
                <w:noProof/>
                <w:webHidden/>
              </w:rPr>
              <w:fldChar w:fldCharType="separate"/>
            </w:r>
            <w:r>
              <w:rPr>
                <w:noProof/>
                <w:webHidden/>
              </w:rPr>
              <w:t>5</w:t>
            </w:r>
            <w:r>
              <w:rPr>
                <w:noProof/>
                <w:webHidden/>
              </w:rPr>
              <w:fldChar w:fldCharType="end"/>
            </w:r>
          </w:hyperlink>
        </w:p>
        <w:p w:rsidR="00B82949" w:rsidRDefault="00B82949">
          <w:pPr>
            <w:pStyle w:val="TDC1"/>
            <w:tabs>
              <w:tab w:val="left" w:pos="440"/>
              <w:tab w:val="right" w:leader="dot" w:pos="8828"/>
            </w:tabs>
            <w:rPr>
              <w:rFonts w:eastAsiaTheme="minorEastAsia"/>
              <w:noProof/>
              <w:lang w:eastAsia="es-MX"/>
            </w:rPr>
          </w:pPr>
          <w:hyperlink w:anchor="_Toc273074" w:history="1">
            <w:r w:rsidRPr="005816B3">
              <w:rPr>
                <w:rStyle w:val="Hipervnculo"/>
                <w:noProof/>
              </w:rPr>
              <w:t>I.</w:t>
            </w:r>
            <w:r>
              <w:rPr>
                <w:rFonts w:eastAsiaTheme="minorEastAsia"/>
                <w:noProof/>
                <w:lang w:eastAsia="es-MX"/>
              </w:rPr>
              <w:tab/>
            </w:r>
            <w:r w:rsidRPr="005816B3">
              <w:rPr>
                <w:rStyle w:val="Hipervnculo"/>
                <w:noProof/>
              </w:rPr>
              <w:t>Del Derecho de Acceso a la información pública y el deber de motivar.</w:t>
            </w:r>
            <w:r>
              <w:rPr>
                <w:noProof/>
                <w:webHidden/>
              </w:rPr>
              <w:tab/>
            </w:r>
            <w:r>
              <w:rPr>
                <w:noProof/>
                <w:webHidden/>
              </w:rPr>
              <w:fldChar w:fldCharType="begin"/>
            </w:r>
            <w:r>
              <w:rPr>
                <w:noProof/>
                <w:webHidden/>
              </w:rPr>
              <w:instrText xml:space="preserve"> PAGEREF _Toc273074 \h </w:instrText>
            </w:r>
            <w:r>
              <w:rPr>
                <w:noProof/>
                <w:webHidden/>
              </w:rPr>
            </w:r>
            <w:r>
              <w:rPr>
                <w:noProof/>
                <w:webHidden/>
              </w:rPr>
              <w:fldChar w:fldCharType="separate"/>
            </w:r>
            <w:r>
              <w:rPr>
                <w:noProof/>
                <w:webHidden/>
              </w:rPr>
              <w:t>5</w:t>
            </w:r>
            <w:r>
              <w:rPr>
                <w:noProof/>
                <w:webHidden/>
              </w:rPr>
              <w:fldChar w:fldCharType="end"/>
            </w:r>
          </w:hyperlink>
        </w:p>
        <w:p w:rsidR="00B82949" w:rsidRDefault="00B82949">
          <w:pPr>
            <w:pStyle w:val="TDC1"/>
            <w:tabs>
              <w:tab w:val="left" w:pos="440"/>
              <w:tab w:val="right" w:leader="dot" w:pos="8828"/>
            </w:tabs>
            <w:rPr>
              <w:rFonts w:eastAsiaTheme="minorEastAsia"/>
              <w:noProof/>
              <w:lang w:eastAsia="es-MX"/>
            </w:rPr>
          </w:pPr>
          <w:hyperlink w:anchor="_Toc273075" w:history="1">
            <w:r w:rsidRPr="005816B3">
              <w:rPr>
                <w:rStyle w:val="Hipervnculo"/>
                <w:rFonts w:eastAsia="Calibri"/>
                <w:noProof/>
              </w:rPr>
              <w:t>II.</w:t>
            </w:r>
            <w:r>
              <w:rPr>
                <w:rFonts w:eastAsiaTheme="minorEastAsia"/>
                <w:noProof/>
                <w:lang w:eastAsia="es-MX"/>
              </w:rPr>
              <w:tab/>
            </w:r>
            <w:r w:rsidRPr="005816B3">
              <w:rPr>
                <w:rStyle w:val="Hipervnculo"/>
                <w:rFonts w:eastAsia="Calibri"/>
                <w:noProof/>
              </w:rPr>
              <w:t>De la fundamentación y motivación.</w:t>
            </w:r>
            <w:r>
              <w:rPr>
                <w:noProof/>
                <w:webHidden/>
              </w:rPr>
              <w:tab/>
            </w:r>
            <w:r>
              <w:rPr>
                <w:noProof/>
                <w:webHidden/>
              </w:rPr>
              <w:fldChar w:fldCharType="begin"/>
            </w:r>
            <w:r>
              <w:rPr>
                <w:noProof/>
                <w:webHidden/>
              </w:rPr>
              <w:instrText xml:space="preserve"> PAGEREF _Toc273075 \h </w:instrText>
            </w:r>
            <w:r>
              <w:rPr>
                <w:noProof/>
                <w:webHidden/>
              </w:rPr>
            </w:r>
            <w:r>
              <w:rPr>
                <w:noProof/>
                <w:webHidden/>
              </w:rPr>
              <w:fldChar w:fldCharType="separate"/>
            </w:r>
            <w:r>
              <w:rPr>
                <w:noProof/>
                <w:webHidden/>
              </w:rPr>
              <w:t>11</w:t>
            </w:r>
            <w:r>
              <w:rPr>
                <w:noProof/>
                <w:webHidden/>
              </w:rPr>
              <w:fldChar w:fldCharType="end"/>
            </w:r>
          </w:hyperlink>
        </w:p>
        <w:p w:rsidR="00B82949" w:rsidRDefault="00B82949">
          <w:pPr>
            <w:pStyle w:val="TDC1"/>
            <w:tabs>
              <w:tab w:val="left" w:pos="440"/>
              <w:tab w:val="right" w:leader="dot" w:pos="8828"/>
            </w:tabs>
            <w:rPr>
              <w:rFonts w:eastAsiaTheme="minorEastAsia"/>
              <w:noProof/>
              <w:lang w:eastAsia="es-MX"/>
            </w:rPr>
          </w:pPr>
          <w:hyperlink w:anchor="_Toc273076" w:history="1">
            <w:r w:rsidRPr="005816B3">
              <w:rPr>
                <w:rStyle w:val="Hipervnculo"/>
                <w:rFonts w:cs="Arial"/>
                <w:noProof/>
              </w:rPr>
              <w:t>C.</w:t>
            </w:r>
            <w:r>
              <w:rPr>
                <w:rFonts w:eastAsiaTheme="minorEastAsia"/>
                <w:noProof/>
                <w:lang w:eastAsia="es-MX"/>
              </w:rPr>
              <w:tab/>
            </w:r>
            <w:r w:rsidRPr="005816B3">
              <w:rPr>
                <w:rStyle w:val="Hipervnculo"/>
                <w:noProof/>
              </w:rPr>
              <w:t>De la clasificación de la información.</w:t>
            </w:r>
            <w:r>
              <w:rPr>
                <w:noProof/>
                <w:webHidden/>
              </w:rPr>
              <w:tab/>
            </w:r>
            <w:r>
              <w:rPr>
                <w:noProof/>
                <w:webHidden/>
              </w:rPr>
              <w:fldChar w:fldCharType="begin"/>
            </w:r>
            <w:r>
              <w:rPr>
                <w:noProof/>
                <w:webHidden/>
              </w:rPr>
              <w:instrText xml:space="preserve"> PAGEREF _Toc273076 \h </w:instrText>
            </w:r>
            <w:r>
              <w:rPr>
                <w:noProof/>
                <w:webHidden/>
              </w:rPr>
            </w:r>
            <w:r>
              <w:rPr>
                <w:noProof/>
                <w:webHidden/>
              </w:rPr>
              <w:fldChar w:fldCharType="separate"/>
            </w:r>
            <w:r>
              <w:rPr>
                <w:noProof/>
                <w:webHidden/>
              </w:rPr>
              <w:t>18</w:t>
            </w:r>
            <w:r>
              <w:rPr>
                <w:noProof/>
                <w:webHidden/>
              </w:rPr>
              <w:fldChar w:fldCharType="end"/>
            </w:r>
          </w:hyperlink>
        </w:p>
        <w:p w:rsidR="00B82949" w:rsidRDefault="00B82949">
          <w:pPr>
            <w:pStyle w:val="TDC1"/>
            <w:tabs>
              <w:tab w:val="left" w:pos="440"/>
              <w:tab w:val="right" w:leader="dot" w:pos="8828"/>
            </w:tabs>
            <w:rPr>
              <w:rFonts w:eastAsiaTheme="minorEastAsia"/>
              <w:noProof/>
              <w:lang w:eastAsia="es-MX"/>
            </w:rPr>
          </w:pPr>
          <w:hyperlink w:anchor="_Toc273077" w:history="1">
            <w:r w:rsidRPr="005816B3">
              <w:rPr>
                <w:rStyle w:val="Hipervnculo"/>
                <w:noProof/>
              </w:rPr>
              <w:t>I.</w:t>
            </w:r>
            <w:r>
              <w:rPr>
                <w:rFonts w:eastAsiaTheme="minorEastAsia"/>
                <w:noProof/>
                <w:lang w:eastAsia="es-MX"/>
              </w:rPr>
              <w:tab/>
            </w:r>
            <w:r w:rsidRPr="005816B3">
              <w:rPr>
                <w:rStyle w:val="Hipervnculo"/>
                <w:noProof/>
              </w:rPr>
              <w:t>De la clasificación de la información.</w:t>
            </w:r>
            <w:r>
              <w:rPr>
                <w:noProof/>
                <w:webHidden/>
              </w:rPr>
              <w:tab/>
            </w:r>
            <w:r>
              <w:rPr>
                <w:noProof/>
                <w:webHidden/>
              </w:rPr>
              <w:fldChar w:fldCharType="begin"/>
            </w:r>
            <w:r>
              <w:rPr>
                <w:noProof/>
                <w:webHidden/>
              </w:rPr>
              <w:instrText xml:space="preserve"> PAGEREF _Toc273077 \h </w:instrText>
            </w:r>
            <w:r>
              <w:rPr>
                <w:noProof/>
                <w:webHidden/>
              </w:rPr>
            </w:r>
            <w:r>
              <w:rPr>
                <w:noProof/>
                <w:webHidden/>
              </w:rPr>
              <w:fldChar w:fldCharType="separate"/>
            </w:r>
            <w:r>
              <w:rPr>
                <w:noProof/>
                <w:webHidden/>
              </w:rPr>
              <w:t>19</w:t>
            </w:r>
            <w:r>
              <w:rPr>
                <w:noProof/>
                <w:webHidden/>
              </w:rPr>
              <w:fldChar w:fldCharType="end"/>
            </w:r>
          </w:hyperlink>
        </w:p>
        <w:p w:rsidR="00B82949" w:rsidRDefault="00B82949">
          <w:pPr>
            <w:pStyle w:val="TDC1"/>
            <w:tabs>
              <w:tab w:val="left" w:pos="440"/>
              <w:tab w:val="right" w:leader="dot" w:pos="8828"/>
            </w:tabs>
            <w:rPr>
              <w:rFonts w:eastAsiaTheme="minorEastAsia"/>
              <w:noProof/>
              <w:lang w:eastAsia="es-MX"/>
            </w:rPr>
          </w:pPr>
          <w:hyperlink w:anchor="_Toc273078" w:history="1">
            <w:r w:rsidRPr="005816B3">
              <w:rPr>
                <w:rStyle w:val="Hipervnculo"/>
                <w:noProof/>
              </w:rPr>
              <w:t>II.</w:t>
            </w:r>
            <w:r>
              <w:rPr>
                <w:rFonts w:eastAsiaTheme="minorEastAsia"/>
                <w:noProof/>
                <w:lang w:eastAsia="es-MX"/>
              </w:rPr>
              <w:tab/>
            </w:r>
            <w:r w:rsidRPr="005816B3">
              <w:rPr>
                <w:rStyle w:val="Hipervnculo"/>
                <w:noProof/>
              </w:rPr>
              <w:t>La intervención del Comité de Transparencia.</w:t>
            </w:r>
            <w:r>
              <w:rPr>
                <w:noProof/>
                <w:webHidden/>
              </w:rPr>
              <w:tab/>
            </w:r>
            <w:r>
              <w:rPr>
                <w:noProof/>
                <w:webHidden/>
              </w:rPr>
              <w:fldChar w:fldCharType="begin"/>
            </w:r>
            <w:r>
              <w:rPr>
                <w:noProof/>
                <w:webHidden/>
              </w:rPr>
              <w:instrText xml:space="preserve"> PAGEREF _Toc273078 \h </w:instrText>
            </w:r>
            <w:r>
              <w:rPr>
                <w:noProof/>
                <w:webHidden/>
              </w:rPr>
            </w:r>
            <w:r>
              <w:rPr>
                <w:noProof/>
                <w:webHidden/>
              </w:rPr>
              <w:fldChar w:fldCharType="separate"/>
            </w:r>
            <w:r>
              <w:rPr>
                <w:noProof/>
                <w:webHidden/>
              </w:rPr>
              <w:t>31</w:t>
            </w:r>
            <w:r>
              <w:rPr>
                <w:noProof/>
                <w:webHidden/>
              </w:rPr>
              <w:fldChar w:fldCharType="end"/>
            </w:r>
          </w:hyperlink>
        </w:p>
        <w:p w:rsidR="00B82949" w:rsidRDefault="00B82949">
          <w:pPr>
            <w:pStyle w:val="TDC1"/>
            <w:tabs>
              <w:tab w:val="left" w:pos="660"/>
              <w:tab w:val="right" w:leader="dot" w:pos="8828"/>
            </w:tabs>
            <w:rPr>
              <w:rFonts w:eastAsiaTheme="minorEastAsia"/>
              <w:noProof/>
              <w:lang w:eastAsia="es-MX"/>
            </w:rPr>
          </w:pPr>
          <w:hyperlink w:anchor="_Toc273079" w:history="1">
            <w:r w:rsidRPr="005816B3">
              <w:rPr>
                <w:rStyle w:val="Hipervnculo"/>
                <w:noProof/>
              </w:rPr>
              <w:t>III.</w:t>
            </w:r>
            <w:r>
              <w:rPr>
                <w:rFonts w:eastAsiaTheme="minorEastAsia"/>
                <w:noProof/>
                <w:lang w:eastAsia="es-MX"/>
              </w:rPr>
              <w:tab/>
            </w:r>
            <w:r w:rsidRPr="005816B3">
              <w:rPr>
                <w:rStyle w:val="Hipervnculo"/>
                <w:noProof/>
              </w:rPr>
              <w:t>Condiciones especiales de la clasificación de la información como reservada</w:t>
            </w:r>
            <w:r>
              <w:rPr>
                <w:noProof/>
                <w:webHidden/>
              </w:rPr>
              <w:tab/>
            </w:r>
            <w:r>
              <w:rPr>
                <w:noProof/>
                <w:webHidden/>
              </w:rPr>
              <w:fldChar w:fldCharType="begin"/>
            </w:r>
            <w:r>
              <w:rPr>
                <w:noProof/>
                <w:webHidden/>
              </w:rPr>
              <w:instrText xml:space="preserve"> PAGEREF _Toc273079 \h </w:instrText>
            </w:r>
            <w:r>
              <w:rPr>
                <w:noProof/>
                <w:webHidden/>
              </w:rPr>
            </w:r>
            <w:r>
              <w:rPr>
                <w:noProof/>
                <w:webHidden/>
              </w:rPr>
              <w:fldChar w:fldCharType="separate"/>
            </w:r>
            <w:r>
              <w:rPr>
                <w:noProof/>
                <w:webHidden/>
              </w:rPr>
              <w:t>33</w:t>
            </w:r>
            <w:r>
              <w:rPr>
                <w:noProof/>
                <w:webHidden/>
              </w:rPr>
              <w:fldChar w:fldCharType="end"/>
            </w:r>
          </w:hyperlink>
        </w:p>
        <w:p w:rsidR="00B82949" w:rsidRDefault="00B82949">
          <w:pPr>
            <w:pStyle w:val="TDC1"/>
            <w:tabs>
              <w:tab w:val="left" w:pos="440"/>
              <w:tab w:val="right" w:leader="dot" w:pos="8828"/>
            </w:tabs>
            <w:rPr>
              <w:rFonts w:eastAsiaTheme="minorEastAsia"/>
              <w:noProof/>
              <w:lang w:eastAsia="es-MX"/>
            </w:rPr>
          </w:pPr>
          <w:hyperlink w:anchor="_Toc273080" w:history="1">
            <w:r w:rsidRPr="005816B3">
              <w:rPr>
                <w:rStyle w:val="Hipervnculo"/>
                <w:noProof/>
              </w:rPr>
              <w:t>D.</w:t>
            </w:r>
            <w:r>
              <w:rPr>
                <w:rFonts w:eastAsiaTheme="minorEastAsia"/>
                <w:noProof/>
                <w:lang w:eastAsia="es-MX"/>
              </w:rPr>
              <w:tab/>
            </w:r>
            <w:r w:rsidRPr="005816B3">
              <w:rPr>
                <w:rStyle w:val="Hipervnculo"/>
                <w:noProof/>
              </w:rPr>
              <w:t>Conclusión.</w:t>
            </w:r>
            <w:r>
              <w:rPr>
                <w:noProof/>
                <w:webHidden/>
              </w:rPr>
              <w:tab/>
            </w:r>
            <w:r>
              <w:rPr>
                <w:noProof/>
                <w:webHidden/>
              </w:rPr>
              <w:fldChar w:fldCharType="begin"/>
            </w:r>
            <w:r>
              <w:rPr>
                <w:noProof/>
                <w:webHidden/>
              </w:rPr>
              <w:instrText xml:space="preserve"> PAGEREF _Toc273080 \h </w:instrText>
            </w:r>
            <w:r>
              <w:rPr>
                <w:noProof/>
                <w:webHidden/>
              </w:rPr>
            </w:r>
            <w:r>
              <w:rPr>
                <w:noProof/>
                <w:webHidden/>
              </w:rPr>
              <w:fldChar w:fldCharType="separate"/>
            </w:r>
            <w:r>
              <w:rPr>
                <w:noProof/>
                <w:webHidden/>
              </w:rPr>
              <w:t>40</w:t>
            </w:r>
            <w:r>
              <w:rPr>
                <w:noProof/>
                <w:webHidden/>
              </w:rPr>
              <w:fldChar w:fldCharType="end"/>
            </w:r>
          </w:hyperlink>
        </w:p>
        <w:p w:rsidR="00625340" w:rsidRPr="00CB2E7B" w:rsidRDefault="00625340">
          <w:pPr>
            <w:rPr>
              <w:rFonts w:ascii="Palatino Linotype" w:hAnsi="Palatino Linotype"/>
              <w:b/>
              <w:bCs/>
              <w:sz w:val="24"/>
              <w:szCs w:val="24"/>
              <w:lang w:val="es-ES"/>
            </w:rPr>
          </w:pPr>
          <w:r w:rsidRPr="00CB2E7B">
            <w:rPr>
              <w:rFonts w:ascii="Palatino Linotype" w:hAnsi="Palatino Linotype"/>
              <w:b/>
              <w:bCs/>
              <w:sz w:val="24"/>
              <w:szCs w:val="24"/>
              <w:lang w:val="es-ES"/>
            </w:rPr>
            <w:fldChar w:fldCharType="end"/>
          </w:r>
        </w:p>
      </w:sdtContent>
    </w:sdt>
    <w:p w:rsidR="0025332E" w:rsidRPr="00CB2E7B" w:rsidRDefault="0025332E" w:rsidP="0025332E">
      <w:pPr>
        <w:pStyle w:val="Ttulo1"/>
        <w:rPr>
          <w:szCs w:val="24"/>
        </w:rPr>
      </w:pPr>
    </w:p>
    <w:p w:rsidR="00D35091" w:rsidRPr="00CB2E7B" w:rsidRDefault="00D35091" w:rsidP="00D35091">
      <w:pPr>
        <w:rPr>
          <w:rFonts w:ascii="Palatino Linotype" w:hAnsi="Palatino Linotype"/>
          <w:sz w:val="24"/>
          <w:szCs w:val="24"/>
        </w:rPr>
      </w:pPr>
    </w:p>
    <w:p w:rsidR="00D35091" w:rsidRPr="00CB2E7B" w:rsidRDefault="00D35091" w:rsidP="00D35091">
      <w:pPr>
        <w:rPr>
          <w:rFonts w:ascii="Palatino Linotype" w:hAnsi="Palatino Linotype"/>
          <w:sz w:val="24"/>
          <w:szCs w:val="24"/>
        </w:rPr>
      </w:pPr>
    </w:p>
    <w:p w:rsidR="00787C3A" w:rsidRDefault="00787C3A" w:rsidP="00D35091">
      <w:pPr>
        <w:rPr>
          <w:rFonts w:ascii="Palatino Linotype" w:hAnsi="Palatino Linotype"/>
          <w:sz w:val="24"/>
          <w:szCs w:val="24"/>
        </w:rPr>
      </w:pPr>
    </w:p>
    <w:p w:rsidR="00CB2E7B" w:rsidRDefault="00CB2E7B"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F72F39" w:rsidRDefault="00F72F39" w:rsidP="00D35091">
      <w:pPr>
        <w:rPr>
          <w:rFonts w:ascii="Palatino Linotype" w:hAnsi="Palatino Linotype"/>
          <w:sz w:val="24"/>
          <w:szCs w:val="24"/>
        </w:rPr>
      </w:pPr>
    </w:p>
    <w:p w:rsidR="00625340" w:rsidRPr="00CB2E7B" w:rsidRDefault="00625340" w:rsidP="00530CB3">
      <w:pPr>
        <w:pStyle w:val="Ttulo1"/>
        <w:numPr>
          <w:ilvl w:val="0"/>
          <w:numId w:val="43"/>
        </w:numPr>
        <w:ind w:left="993" w:hanging="567"/>
        <w:rPr>
          <w:szCs w:val="24"/>
        </w:rPr>
      </w:pPr>
      <w:bookmarkStart w:id="0" w:name="_Toc273072"/>
      <w:r w:rsidRPr="00CB2E7B">
        <w:rPr>
          <w:szCs w:val="24"/>
        </w:rPr>
        <w:lastRenderedPageBreak/>
        <w:t>Consideraciones Generales</w:t>
      </w:r>
      <w:r w:rsidR="004074C0" w:rsidRPr="00CB2E7B">
        <w:rPr>
          <w:szCs w:val="24"/>
        </w:rPr>
        <w:t>.</w:t>
      </w:r>
      <w:bookmarkEnd w:id="0"/>
    </w:p>
    <w:p w:rsidR="003431E5" w:rsidRPr="00CB2E7B" w:rsidRDefault="003431E5" w:rsidP="003431E5">
      <w:pPr>
        <w:rPr>
          <w:rFonts w:ascii="Palatino Linotype" w:hAnsi="Palatino Linotype"/>
          <w:sz w:val="24"/>
          <w:szCs w:val="24"/>
        </w:rPr>
      </w:pPr>
    </w:p>
    <w:p w:rsidR="00625340" w:rsidRPr="00CB2E7B" w:rsidRDefault="00703F02" w:rsidP="00530CB3">
      <w:pPr>
        <w:pStyle w:val="Prrafodelista"/>
        <w:numPr>
          <w:ilvl w:val="0"/>
          <w:numId w:val="11"/>
        </w:numPr>
        <w:spacing w:after="0" w:line="360" w:lineRule="auto"/>
        <w:ind w:left="426"/>
        <w:jc w:val="both"/>
        <w:rPr>
          <w:rFonts w:ascii="Palatino Linotype" w:hAnsi="Palatino Linotype" w:cs="Arial"/>
          <w:b/>
          <w:sz w:val="24"/>
          <w:szCs w:val="24"/>
        </w:rPr>
      </w:pPr>
      <w:r w:rsidRPr="00CB2E7B">
        <w:rPr>
          <w:rFonts w:ascii="Palatino Linotype" w:eastAsia="Times New Roman" w:hAnsi="Palatino Linotype" w:cs="Arial"/>
          <w:sz w:val="24"/>
          <w:szCs w:val="24"/>
          <w:lang w:val="es-ES_tradnl"/>
        </w:rPr>
        <w:t xml:space="preserve">He concurrido con mi </w:t>
      </w:r>
      <w:r w:rsidR="00C02AF0" w:rsidRPr="00CB2E7B">
        <w:rPr>
          <w:rFonts w:ascii="Palatino Linotype" w:eastAsia="Times New Roman" w:hAnsi="Palatino Linotype" w:cs="Arial"/>
          <w:sz w:val="24"/>
          <w:szCs w:val="24"/>
          <w:lang w:val="es-ES_tradnl"/>
        </w:rPr>
        <w:t>voto</w:t>
      </w:r>
      <w:r w:rsidR="00625340" w:rsidRPr="00CB2E7B">
        <w:rPr>
          <w:rFonts w:ascii="Palatino Linotype" w:eastAsia="Times New Roman" w:hAnsi="Palatino Linotype" w:cs="Arial"/>
          <w:sz w:val="24"/>
          <w:szCs w:val="24"/>
          <w:lang w:val="es-ES_tradnl"/>
        </w:rPr>
        <w:t xml:space="preserve"> particular de la presente resolución emitida </w:t>
      </w:r>
      <w:r w:rsidR="00625340" w:rsidRPr="00CB2E7B">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213DF0">
        <w:rPr>
          <w:rFonts w:ascii="Palatino Linotype" w:hAnsi="Palatino Linotype" w:cs="Arial"/>
          <w:sz w:val="24"/>
          <w:szCs w:val="24"/>
        </w:rPr>
        <w:t>Cuarta</w:t>
      </w:r>
      <w:r w:rsidR="00F9751B" w:rsidRPr="00CB2E7B">
        <w:rPr>
          <w:rFonts w:ascii="Palatino Linotype" w:hAnsi="Palatino Linotype" w:cs="Arial"/>
          <w:sz w:val="24"/>
          <w:szCs w:val="24"/>
        </w:rPr>
        <w:t xml:space="preserve"> </w:t>
      </w:r>
      <w:r w:rsidR="00D42114" w:rsidRPr="00CB2E7B">
        <w:rPr>
          <w:rFonts w:ascii="Palatino Linotype" w:hAnsi="Palatino Linotype" w:cs="Arial"/>
          <w:sz w:val="24"/>
          <w:szCs w:val="24"/>
        </w:rPr>
        <w:t>Sesión O</w:t>
      </w:r>
      <w:r w:rsidR="00F9751B" w:rsidRPr="00CB2E7B">
        <w:rPr>
          <w:rFonts w:ascii="Palatino Linotype" w:hAnsi="Palatino Linotype" w:cs="Arial"/>
          <w:sz w:val="24"/>
          <w:szCs w:val="24"/>
        </w:rPr>
        <w:t xml:space="preserve">rdinaria celebrada el </w:t>
      </w:r>
      <w:r w:rsidR="00175E9F" w:rsidRPr="00CB2E7B">
        <w:rPr>
          <w:rFonts w:ascii="Palatino Linotype" w:hAnsi="Palatino Linotype" w:cs="Arial"/>
          <w:sz w:val="24"/>
          <w:szCs w:val="24"/>
        </w:rPr>
        <w:t xml:space="preserve">día </w:t>
      </w:r>
      <w:r w:rsidR="00213DF0">
        <w:rPr>
          <w:rFonts w:ascii="Palatino Linotype" w:hAnsi="Palatino Linotype" w:cs="Arial"/>
          <w:sz w:val="24"/>
          <w:szCs w:val="24"/>
        </w:rPr>
        <w:t>treinta</w:t>
      </w:r>
      <w:r w:rsidR="00F9751B" w:rsidRPr="00CB2E7B">
        <w:rPr>
          <w:rFonts w:ascii="Palatino Linotype" w:hAnsi="Palatino Linotype" w:cs="Arial"/>
          <w:sz w:val="24"/>
          <w:szCs w:val="24"/>
        </w:rPr>
        <w:t xml:space="preserve"> </w:t>
      </w:r>
      <w:r w:rsidR="00787C3A" w:rsidRPr="00CB2E7B">
        <w:rPr>
          <w:rFonts w:ascii="Palatino Linotype" w:hAnsi="Palatino Linotype" w:cs="Arial"/>
          <w:sz w:val="24"/>
          <w:szCs w:val="24"/>
        </w:rPr>
        <w:t>(</w:t>
      </w:r>
      <w:r w:rsidR="00213DF0">
        <w:rPr>
          <w:rFonts w:ascii="Palatino Linotype" w:hAnsi="Palatino Linotype" w:cs="Arial"/>
          <w:sz w:val="24"/>
          <w:szCs w:val="24"/>
        </w:rPr>
        <w:t>30</w:t>
      </w:r>
      <w:r w:rsidR="00787C3A" w:rsidRPr="00CB2E7B">
        <w:rPr>
          <w:rFonts w:ascii="Palatino Linotype" w:hAnsi="Palatino Linotype" w:cs="Arial"/>
          <w:sz w:val="24"/>
          <w:szCs w:val="24"/>
        </w:rPr>
        <w:t xml:space="preserve">) </w:t>
      </w:r>
      <w:r w:rsidR="00175E9F" w:rsidRPr="00CB2E7B">
        <w:rPr>
          <w:rFonts w:ascii="Palatino Linotype" w:hAnsi="Palatino Linotype" w:cs="Arial"/>
          <w:sz w:val="24"/>
          <w:szCs w:val="24"/>
        </w:rPr>
        <w:t xml:space="preserve">de </w:t>
      </w:r>
      <w:r w:rsidR="00213DF0">
        <w:rPr>
          <w:rFonts w:ascii="Palatino Linotype" w:hAnsi="Palatino Linotype" w:cs="Arial"/>
          <w:sz w:val="24"/>
          <w:szCs w:val="24"/>
        </w:rPr>
        <w:t>enero</w:t>
      </w:r>
      <w:r w:rsidR="00F72F39">
        <w:rPr>
          <w:rFonts w:ascii="Palatino Linotype" w:hAnsi="Palatino Linotype" w:cs="Arial"/>
          <w:sz w:val="24"/>
          <w:szCs w:val="24"/>
        </w:rPr>
        <w:t xml:space="preserve"> </w:t>
      </w:r>
      <w:r w:rsidR="00F9751B" w:rsidRPr="00CB2E7B">
        <w:rPr>
          <w:rFonts w:ascii="Palatino Linotype" w:hAnsi="Palatino Linotype" w:cs="Arial"/>
          <w:sz w:val="24"/>
          <w:szCs w:val="24"/>
        </w:rPr>
        <w:t>de dos mil dieci</w:t>
      </w:r>
      <w:r w:rsidR="00213DF0">
        <w:rPr>
          <w:rFonts w:ascii="Palatino Linotype" w:hAnsi="Palatino Linotype" w:cs="Arial"/>
          <w:sz w:val="24"/>
          <w:szCs w:val="24"/>
        </w:rPr>
        <w:t>nueve</w:t>
      </w:r>
      <w:r w:rsidR="00625340" w:rsidRPr="00CB2E7B">
        <w:rPr>
          <w:rFonts w:ascii="Palatino Linotype" w:hAnsi="Palatino Linotype" w:cs="Arial"/>
          <w:sz w:val="24"/>
          <w:szCs w:val="24"/>
        </w:rPr>
        <w:t xml:space="preserve">, en el recurso de revisión promovido en contra de la </w:t>
      </w:r>
      <w:r w:rsidR="00213DF0">
        <w:rPr>
          <w:rFonts w:ascii="Palatino Linotype" w:hAnsi="Palatino Linotype" w:cs="Arial"/>
          <w:sz w:val="24"/>
          <w:szCs w:val="24"/>
        </w:rPr>
        <w:t xml:space="preserve">falta </w:t>
      </w:r>
      <w:r w:rsidR="00625340" w:rsidRPr="00CB2E7B">
        <w:rPr>
          <w:rFonts w:ascii="Palatino Linotype" w:hAnsi="Palatino Linotype" w:cs="Arial"/>
          <w:sz w:val="24"/>
          <w:szCs w:val="24"/>
        </w:rPr>
        <w:t xml:space="preserve">respuesta </w:t>
      </w:r>
      <w:r w:rsidR="00B02F56" w:rsidRPr="00CB2E7B">
        <w:rPr>
          <w:rFonts w:ascii="Palatino Linotype" w:hAnsi="Palatino Linotype" w:cs="Arial"/>
          <w:sz w:val="24"/>
          <w:szCs w:val="24"/>
        </w:rPr>
        <w:t>de</w:t>
      </w:r>
      <w:r w:rsidRPr="00CB2E7B">
        <w:rPr>
          <w:rFonts w:ascii="Palatino Linotype" w:hAnsi="Palatino Linotype" w:cs="Arial"/>
          <w:sz w:val="24"/>
          <w:szCs w:val="24"/>
        </w:rPr>
        <w:t>l</w:t>
      </w:r>
      <w:r w:rsidR="00B02F56" w:rsidRPr="00CB2E7B">
        <w:rPr>
          <w:rFonts w:ascii="Palatino Linotype" w:hAnsi="Palatino Linotype" w:cs="Arial"/>
          <w:sz w:val="24"/>
          <w:szCs w:val="24"/>
        </w:rPr>
        <w:t xml:space="preserve"> </w:t>
      </w:r>
      <w:r w:rsidR="00213DF0">
        <w:rPr>
          <w:rFonts w:ascii="Palatino Linotype" w:hAnsi="Palatino Linotype"/>
          <w:b/>
        </w:rPr>
        <w:t>Organismo Público Descentralizado para la Presentación de los Servicios de Agua Potable Alcantarillado y Saneamiento de Nicolás Romero</w:t>
      </w:r>
      <w:r w:rsidR="00625340" w:rsidRPr="00CB2E7B">
        <w:rPr>
          <w:rFonts w:ascii="Palatino Linotype" w:hAnsi="Palatino Linotype" w:cs="Arial"/>
          <w:sz w:val="24"/>
          <w:szCs w:val="24"/>
        </w:rPr>
        <w:t xml:space="preserve">, procedimiento al que se le asignó el número de expediente </w:t>
      </w:r>
      <w:r w:rsidR="00213DF0">
        <w:rPr>
          <w:rFonts w:ascii="Palatino Linotype" w:hAnsi="Palatino Linotype"/>
          <w:b/>
          <w:sz w:val="24"/>
          <w:szCs w:val="24"/>
        </w:rPr>
        <w:t>04279</w:t>
      </w:r>
      <w:r w:rsidR="004B096A" w:rsidRPr="004B096A">
        <w:rPr>
          <w:rFonts w:ascii="Palatino Linotype" w:hAnsi="Palatino Linotype"/>
          <w:b/>
          <w:sz w:val="24"/>
          <w:szCs w:val="24"/>
        </w:rPr>
        <w:t>/INFOEM/IP/RR/2018</w:t>
      </w:r>
      <w:r w:rsidR="00625340" w:rsidRPr="004B096A">
        <w:rPr>
          <w:rFonts w:ascii="Palatino Linotype" w:hAnsi="Palatino Linotype" w:cs="Arial"/>
          <w:b/>
          <w:sz w:val="24"/>
          <w:szCs w:val="24"/>
        </w:rPr>
        <w:t>.</w:t>
      </w:r>
    </w:p>
    <w:p w:rsidR="00D35091" w:rsidRPr="00CB2E7B" w:rsidRDefault="00D35091" w:rsidP="00530CB3">
      <w:pPr>
        <w:pStyle w:val="Prrafodelista"/>
        <w:spacing w:after="0" w:line="360" w:lineRule="auto"/>
        <w:ind w:left="426"/>
        <w:jc w:val="both"/>
        <w:rPr>
          <w:rFonts w:ascii="Palatino Linotype" w:hAnsi="Palatino Linotype" w:cs="Arial"/>
          <w:b/>
          <w:sz w:val="24"/>
          <w:szCs w:val="24"/>
        </w:rPr>
      </w:pPr>
    </w:p>
    <w:p w:rsidR="009D5257" w:rsidRPr="009D5257" w:rsidRDefault="00DA4B4E" w:rsidP="009D5257">
      <w:pPr>
        <w:pStyle w:val="Prrafodelista"/>
        <w:numPr>
          <w:ilvl w:val="0"/>
          <w:numId w:val="11"/>
        </w:numPr>
        <w:spacing w:after="0" w:line="360" w:lineRule="auto"/>
        <w:ind w:left="426"/>
        <w:jc w:val="both"/>
        <w:rPr>
          <w:rFonts w:ascii="Palatino Linotype" w:hAnsi="Palatino Linotype" w:cs="Arial"/>
          <w:b/>
          <w:sz w:val="24"/>
          <w:szCs w:val="24"/>
        </w:rPr>
      </w:pPr>
      <w:r w:rsidRPr="009D5257">
        <w:rPr>
          <w:rFonts w:ascii="Palatino Linotype" w:hAnsi="Palatino Linotype" w:cs="Arial"/>
          <w:sz w:val="24"/>
          <w:szCs w:val="24"/>
        </w:rPr>
        <w:t xml:space="preserve">La resolución </w:t>
      </w:r>
      <w:r w:rsidR="00340665" w:rsidRPr="009D5257">
        <w:rPr>
          <w:rFonts w:ascii="Palatino Linotype" w:hAnsi="Palatino Linotype" w:cs="Arial"/>
          <w:sz w:val="24"/>
          <w:szCs w:val="24"/>
        </w:rPr>
        <w:t xml:space="preserve">puntualmente </w:t>
      </w:r>
      <w:r w:rsidRPr="009D5257">
        <w:rPr>
          <w:rFonts w:ascii="Palatino Linotype" w:hAnsi="Palatino Linotype" w:cs="Arial"/>
          <w:sz w:val="24"/>
          <w:szCs w:val="24"/>
        </w:rPr>
        <w:t xml:space="preserve">determina </w:t>
      </w:r>
      <w:r w:rsidR="00213DF0" w:rsidRPr="009D5257">
        <w:rPr>
          <w:rFonts w:ascii="Palatino Linotype" w:hAnsi="Palatino Linotype" w:cs="Arial"/>
          <w:sz w:val="24"/>
          <w:szCs w:val="24"/>
        </w:rPr>
        <w:t>ORDENAR</w:t>
      </w:r>
      <w:r w:rsidR="00726689" w:rsidRPr="009D5257">
        <w:rPr>
          <w:rFonts w:ascii="Palatino Linotype" w:hAnsi="Palatino Linotype" w:cs="Arial"/>
          <w:sz w:val="24"/>
          <w:szCs w:val="24"/>
        </w:rPr>
        <w:t xml:space="preserve"> la entrega, de ser el caso en versión pública, </w:t>
      </w:r>
      <w:r w:rsidR="009D5257" w:rsidRPr="009D5257">
        <w:rPr>
          <w:rFonts w:ascii="Palatino Linotype" w:hAnsi="Palatino Linotype" w:cs="Arial"/>
        </w:rPr>
        <w:t xml:space="preserve">el soporte documental relacionado con las diligencias de restricción del servicio de agua en el fraccionamiento “Cantaros III”, el día 11 de octubre de 2018 en donde conste lo siguiente: </w:t>
      </w:r>
    </w:p>
    <w:p w:rsidR="009D5257" w:rsidRPr="009D5257" w:rsidRDefault="009D5257" w:rsidP="009D5257">
      <w:pPr>
        <w:pStyle w:val="Prrafodelista"/>
        <w:rPr>
          <w:rFonts w:ascii="Palatino Linotype" w:hAnsi="Palatino Linotype" w:cs="Arial"/>
          <w:b/>
          <w:sz w:val="24"/>
          <w:szCs w:val="24"/>
        </w:rPr>
      </w:pPr>
    </w:p>
    <w:p w:rsidR="009D5257" w:rsidRPr="00B82949" w:rsidRDefault="009D5257" w:rsidP="009D5257">
      <w:pPr>
        <w:pStyle w:val="Prrafodelista"/>
        <w:numPr>
          <w:ilvl w:val="0"/>
          <w:numId w:val="45"/>
        </w:numPr>
        <w:spacing w:after="0" w:line="360" w:lineRule="auto"/>
        <w:contextualSpacing w:val="0"/>
        <w:rPr>
          <w:rFonts w:ascii="Palatino Linotype" w:eastAsia="MS Mincho" w:hAnsi="Palatino Linotype" w:cs="Arial"/>
          <w:b/>
          <w:sz w:val="24"/>
        </w:rPr>
      </w:pPr>
      <w:r w:rsidRPr="00B82949">
        <w:rPr>
          <w:rFonts w:ascii="Palatino Linotype" w:hAnsi="Palatino Linotype"/>
          <w:b/>
          <w:sz w:val="24"/>
        </w:rPr>
        <w:t>Nombre d</w:t>
      </w:r>
      <w:r w:rsidRPr="00B82949">
        <w:rPr>
          <w:rFonts w:ascii="Palatino Linotype" w:eastAsia="MS Mincho" w:hAnsi="Palatino Linotype" w:cs="Arial"/>
          <w:b/>
          <w:sz w:val="24"/>
        </w:rPr>
        <w:t>e los servidores públicos que intervinieron o participaron en los actos de autoridad con motivo de las diligencias practicadas.</w:t>
      </w:r>
    </w:p>
    <w:p w:rsidR="009D5257" w:rsidRPr="00B82949" w:rsidRDefault="009D5257" w:rsidP="009D5257">
      <w:pPr>
        <w:spacing w:line="360" w:lineRule="auto"/>
        <w:ind w:left="567"/>
        <w:rPr>
          <w:rFonts w:ascii="Palatino Linotype" w:eastAsia="MS Mincho" w:hAnsi="Palatino Linotype" w:cs="Arial"/>
          <w:b/>
          <w:sz w:val="24"/>
        </w:rPr>
      </w:pPr>
    </w:p>
    <w:p w:rsidR="009D5257" w:rsidRPr="00B82949" w:rsidRDefault="009D5257" w:rsidP="009D5257">
      <w:pPr>
        <w:pStyle w:val="Prrafodelista"/>
        <w:numPr>
          <w:ilvl w:val="0"/>
          <w:numId w:val="45"/>
        </w:numPr>
        <w:spacing w:line="360" w:lineRule="auto"/>
        <w:contextualSpacing w:val="0"/>
        <w:jc w:val="both"/>
        <w:rPr>
          <w:rFonts w:ascii="Palatino Linotype" w:eastAsia="MS Mincho" w:hAnsi="Palatino Linotype" w:cs="Arial"/>
          <w:b/>
          <w:sz w:val="24"/>
        </w:rPr>
      </w:pPr>
      <w:r w:rsidRPr="00B82949">
        <w:rPr>
          <w:rFonts w:ascii="Palatino Linotype" w:eastAsia="MS Mincho" w:hAnsi="Palatino Linotype" w:cs="Arial"/>
          <w:b/>
          <w:sz w:val="24"/>
        </w:rPr>
        <w:t xml:space="preserve">La normatividad que faculta a los servidores públicos que intervinieron, para proceder a las diligencias de ejecución realizadas. </w:t>
      </w:r>
    </w:p>
    <w:p w:rsidR="009D5257" w:rsidRPr="00B82949" w:rsidRDefault="009D5257" w:rsidP="009D5257">
      <w:pPr>
        <w:pStyle w:val="Prrafodelista"/>
        <w:spacing w:line="360" w:lineRule="auto"/>
        <w:rPr>
          <w:rFonts w:ascii="Palatino Linotype" w:eastAsia="MS Mincho" w:hAnsi="Palatino Linotype" w:cs="Arial"/>
          <w:b/>
          <w:sz w:val="24"/>
        </w:rPr>
      </w:pPr>
    </w:p>
    <w:p w:rsidR="009D5257" w:rsidRPr="00B82949" w:rsidRDefault="009D5257" w:rsidP="009D5257">
      <w:pPr>
        <w:pStyle w:val="Prrafodelista"/>
        <w:numPr>
          <w:ilvl w:val="0"/>
          <w:numId w:val="45"/>
        </w:numPr>
        <w:spacing w:line="360" w:lineRule="auto"/>
        <w:jc w:val="both"/>
        <w:rPr>
          <w:rFonts w:ascii="Palatino Linotype" w:eastAsia="MS Mincho" w:hAnsi="Palatino Linotype" w:cs="Arial"/>
          <w:b/>
          <w:sz w:val="24"/>
        </w:rPr>
      </w:pPr>
      <w:r w:rsidRPr="00B82949">
        <w:rPr>
          <w:rFonts w:ascii="Palatino Linotype" w:eastAsia="MS Mincho" w:hAnsi="Palatino Linotype" w:cs="Arial"/>
          <w:b/>
          <w:sz w:val="24"/>
        </w:rPr>
        <w:lastRenderedPageBreak/>
        <w:t xml:space="preserve">Las diligencias ordenadas, debidamente notificadas a las personas que haya sufrido la restricción del servicio de agua, siempre y cuando los expedientes correspondientes hayan quedado firmes. </w:t>
      </w:r>
    </w:p>
    <w:p w:rsidR="009D5257" w:rsidRPr="00B82949" w:rsidRDefault="009D5257" w:rsidP="009D5257">
      <w:pPr>
        <w:pStyle w:val="Prrafodelista"/>
        <w:spacing w:line="360" w:lineRule="auto"/>
        <w:rPr>
          <w:rFonts w:ascii="Palatino Linotype" w:eastAsia="MS Mincho" w:hAnsi="Palatino Linotype" w:cs="Arial"/>
          <w:b/>
          <w:sz w:val="24"/>
        </w:rPr>
      </w:pPr>
    </w:p>
    <w:p w:rsidR="009D5257" w:rsidRPr="00B82949" w:rsidRDefault="009D5257" w:rsidP="009D5257">
      <w:pPr>
        <w:spacing w:line="360" w:lineRule="auto"/>
        <w:ind w:left="851" w:right="49"/>
        <w:jc w:val="both"/>
        <w:rPr>
          <w:rFonts w:ascii="Palatino Linotype" w:hAnsi="Palatino Linotype" w:cs="Arial"/>
          <w:sz w:val="24"/>
        </w:rPr>
      </w:pPr>
      <w:r w:rsidRPr="00B82949">
        <w:rPr>
          <w:rFonts w:ascii="Palatino Linotype" w:hAnsi="Palatino Linotype"/>
          <w:sz w:val="24"/>
          <w:lang w:eastAsia="es-MX"/>
        </w:rPr>
        <w:t xml:space="preserve">De ser el caso, el Sujeto Obligado </w:t>
      </w:r>
      <w:r w:rsidRPr="00B82949">
        <w:rPr>
          <w:rFonts w:ascii="Palatino Linotype" w:hAnsi="Palatino Linotype" w:cs="Arial"/>
          <w:sz w:val="24"/>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rsidR="009D5257" w:rsidRPr="00B82949" w:rsidRDefault="009D5257" w:rsidP="009D5257">
      <w:pPr>
        <w:spacing w:line="360" w:lineRule="auto"/>
        <w:ind w:left="851" w:right="49"/>
        <w:jc w:val="both"/>
        <w:rPr>
          <w:rFonts w:ascii="Palatino Linotype" w:hAnsi="Palatino Linotype" w:cs="Arial"/>
          <w:sz w:val="24"/>
        </w:rPr>
      </w:pPr>
    </w:p>
    <w:p w:rsidR="009D5257" w:rsidRPr="00B82949" w:rsidRDefault="009D5257" w:rsidP="009D5257">
      <w:pPr>
        <w:spacing w:line="360" w:lineRule="auto"/>
        <w:ind w:left="851" w:right="49"/>
        <w:jc w:val="both"/>
        <w:rPr>
          <w:rFonts w:ascii="Palatino Linotype" w:eastAsia="MS Mincho" w:hAnsi="Palatino Linotype" w:cs="Arial"/>
          <w:sz w:val="24"/>
        </w:rPr>
      </w:pPr>
      <w:r w:rsidRPr="00B82949">
        <w:rPr>
          <w:rFonts w:ascii="Palatino Linotype" w:eastAsia="MS Mincho" w:hAnsi="Palatino Linotype" w:cs="Arial"/>
          <w:sz w:val="24"/>
        </w:rPr>
        <w:t xml:space="preserve">En caso de que la información ordenada no fuese localizada por no haberse realizado las diligencias multicitadas, bastará que el </w:t>
      </w:r>
      <w:r w:rsidRPr="00B82949">
        <w:rPr>
          <w:rFonts w:ascii="Palatino Linotype" w:eastAsia="MS Mincho" w:hAnsi="Palatino Linotype" w:cs="Arial"/>
          <w:b/>
          <w:sz w:val="24"/>
        </w:rPr>
        <w:t>SUJETO OBLIGADO</w:t>
      </w:r>
      <w:r w:rsidRPr="00B82949">
        <w:rPr>
          <w:rFonts w:ascii="Palatino Linotype" w:eastAsia="MS Mincho" w:hAnsi="Palatino Linotype" w:cs="Arial"/>
          <w:sz w:val="24"/>
        </w:rPr>
        <w:t xml:space="preserve"> así lo haga saber al particular.    </w:t>
      </w:r>
    </w:p>
    <w:p w:rsidR="009D5257" w:rsidRPr="00B82949" w:rsidRDefault="009D5257" w:rsidP="009D5257">
      <w:pPr>
        <w:spacing w:line="360" w:lineRule="auto"/>
        <w:ind w:left="851" w:right="51"/>
        <w:jc w:val="both"/>
        <w:rPr>
          <w:rFonts w:ascii="Palatino Linotype" w:eastAsia="MS Mincho" w:hAnsi="Palatino Linotype" w:cs="Arial"/>
          <w:sz w:val="18"/>
          <w:szCs w:val="16"/>
        </w:rPr>
      </w:pPr>
    </w:p>
    <w:p w:rsidR="009D5257" w:rsidRPr="00B82949" w:rsidRDefault="009D5257" w:rsidP="009D5257">
      <w:pPr>
        <w:shd w:val="clear" w:color="auto" w:fill="FFFFFF"/>
        <w:spacing w:before="240" w:after="240" w:line="360" w:lineRule="auto"/>
        <w:ind w:left="851" w:right="49"/>
        <w:jc w:val="both"/>
        <w:rPr>
          <w:rFonts w:ascii="Palatino Linotype" w:hAnsi="Palatino Linotype"/>
          <w:b/>
          <w:sz w:val="24"/>
        </w:rPr>
      </w:pPr>
      <w:r w:rsidRPr="00B82949">
        <w:rPr>
          <w:rFonts w:ascii="Palatino Linotype" w:eastAsia="MS Mincho" w:hAnsi="Palatino Linotype" w:cs="Arial"/>
          <w:sz w:val="24"/>
        </w:rPr>
        <w:t xml:space="preserve">Para el caso de que los expedientes que contengan las diligencias ordenadas en el inciso “C” no hayan quedado firmes, </w:t>
      </w:r>
      <w:r w:rsidRPr="00B82949">
        <w:rPr>
          <w:rFonts w:ascii="Palatino Linotype" w:hAnsi="Palatino Linotype"/>
          <w:sz w:val="24"/>
        </w:rPr>
        <w:t>el Comité de Transparencia deberá emitir el Acuerdo de Clasificación correspondiente en términos de los artículos 49 fracción VIII, 125, 140, 143 y demás aplicables de la Ley de la materia y hacerlo del conocimiento del Recurrente</w:t>
      </w:r>
      <w:r w:rsidRPr="00B82949">
        <w:rPr>
          <w:rFonts w:ascii="Palatino Linotype" w:hAnsi="Palatino Linotype"/>
          <w:b/>
          <w:sz w:val="24"/>
        </w:rPr>
        <w:t>.</w:t>
      </w:r>
    </w:p>
    <w:p w:rsidR="0080047C" w:rsidRPr="009D5257" w:rsidRDefault="0080047C" w:rsidP="00D75416">
      <w:pPr>
        <w:pStyle w:val="Prrafodelista"/>
        <w:numPr>
          <w:ilvl w:val="0"/>
          <w:numId w:val="11"/>
        </w:numPr>
        <w:spacing w:before="240" w:after="240" w:line="360" w:lineRule="auto"/>
        <w:ind w:left="426"/>
        <w:jc w:val="both"/>
        <w:rPr>
          <w:rFonts w:ascii="Palatino Linotype" w:hAnsi="Palatino Linotype" w:cs="Arial"/>
          <w:sz w:val="24"/>
          <w:szCs w:val="24"/>
        </w:rPr>
      </w:pPr>
      <w:r w:rsidRPr="009D5257">
        <w:rPr>
          <w:rFonts w:ascii="Palatino Linotype" w:hAnsi="Palatino Linotype" w:cs="Arial"/>
          <w:sz w:val="24"/>
          <w:szCs w:val="24"/>
        </w:rPr>
        <w:lastRenderedPageBreak/>
        <w:t xml:space="preserve">Sin embargo, el voto que formulo se deriva de </w:t>
      </w:r>
      <w:r w:rsidR="00952495" w:rsidRPr="009D5257">
        <w:rPr>
          <w:rFonts w:ascii="Palatino Linotype" w:hAnsi="Palatino Linotype" w:cs="Arial"/>
          <w:sz w:val="24"/>
          <w:szCs w:val="24"/>
        </w:rPr>
        <w:t xml:space="preserve">dos aspectos medulares, el primero de ellos, versa sobre el pronunciamiento simple, mientras que el segundo surge </w:t>
      </w:r>
      <w:r w:rsidR="009D5257" w:rsidRPr="009D5257">
        <w:rPr>
          <w:rFonts w:ascii="Palatino Linotype" w:hAnsi="Palatino Linotype" w:cs="Arial"/>
          <w:sz w:val="24"/>
          <w:szCs w:val="24"/>
        </w:rPr>
        <w:t>en relación a la clasificación de la información como reservada</w:t>
      </w:r>
      <w:r w:rsidR="009D5257">
        <w:rPr>
          <w:rFonts w:ascii="Palatino Linotype" w:hAnsi="Palatino Linotype" w:cs="Arial"/>
          <w:sz w:val="24"/>
          <w:szCs w:val="24"/>
        </w:rPr>
        <w:t>.</w:t>
      </w:r>
    </w:p>
    <w:p w:rsidR="00D42114" w:rsidRDefault="00625340"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Por tal motivo y e</w:t>
      </w:r>
      <w:r w:rsidR="006F18A4" w:rsidRPr="00CB2E7B">
        <w:rPr>
          <w:rFonts w:ascii="Palatino Linotype" w:hAnsi="Palatino Linotype" w:cs="Arial"/>
          <w:sz w:val="24"/>
          <w:szCs w:val="24"/>
        </w:rPr>
        <w:t>n términos de lo señalado por el</w:t>
      </w:r>
      <w:r w:rsidRPr="00CB2E7B">
        <w:rPr>
          <w:rFonts w:ascii="Palatino Linotype" w:hAnsi="Palatino Linotype" w:cs="Arial"/>
          <w:sz w:val="24"/>
          <w:szCs w:val="24"/>
        </w:rPr>
        <w:t xml:space="preserve"> artículo </w:t>
      </w:r>
      <w:r w:rsidR="006F18A4" w:rsidRPr="00CB2E7B">
        <w:rPr>
          <w:rFonts w:ascii="Palatino Linotype" w:hAnsi="Palatino Linotype" w:cs="Arial"/>
          <w:sz w:val="24"/>
          <w:szCs w:val="24"/>
        </w:rPr>
        <w:t>14</w:t>
      </w:r>
      <w:r w:rsidRPr="00CB2E7B">
        <w:rPr>
          <w:rFonts w:ascii="Palatino Linotype" w:hAnsi="Palatino Linotype" w:cs="Arial"/>
          <w:sz w:val="24"/>
          <w:szCs w:val="24"/>
        </w:rPr>
        <w:t xml:space="preserve"> fracción X</w:t>
      </w:r>
      <w:r w:rsidR="00F313D4" w:rsidRPr="00CB2E7B">
        <w:rPr>
          <w:rFonts w:ascii="Palatino Linotype" w:hAnsi="Palatino Linotype" w:cs="Arial"/>
          <w:sz w:val="24"/>
          <w:szCs w:val="24"/>
        </w:rPr>
        <w:t>I</w:t>
      </w:r>
      <w:r w:rsidRPr="00CB2E7B">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CB2E7B">
        <w:rPr>
          <w:rFonts w:ascii="Palatino Linotype" w:hAnsi="Palatino Linotype" w:cs="Arial"/>
          <w:sz w:val="24"/>
          <w:szCs w:val="24"/>
        </w:rPr>
        <w:t xml:space="preserve"> </w:t>
      </w:r>
      <w:r w:rsidR="00C02AF0" w:rsidRPr="00CB2E7B">
        <w:rPr>
          <w:rFonts w:ascii="Palatino Linotype" w:hAnsi="Palatino Linotype" w:cs="Arial"/>
          <w:sz w:val="24"/>
          <w:szCs w:val="24"/>
        </w:rPr>
        <w:t>voto</w:t>
      </w:r>
      <w:r w:rsidRPr="00CB2E7B">
        <w:rPr>
          <w:rFonts w:ascii="Palatino Linotype" w:hAnsi="Palatino Linotype" w:cs="Arial"/>
          <w:sz w:val="24"/>
          <w:szCs w:val="24"/>
        </w:rPr>
        <w:t xml:space="preserve"> particular.</w:t>
      </w:r>
    </w:p>
    <w:p w:rsidR="003C1450" w:rsidRPr="003C1450" w:rsidRDefault="003C1450" w:rsidP="003C1450">
      <w:pPr>
        <w:pStyle w:val="Prrafodelista"/>
        <w:rPr>
          <w:rFonts w:ascii="Palatino Linotype" w:hAnsi="Palatino Linotype" w:cs="Arial"/>
          <w:sz w:val="24"/>
          <w:szCs w:val="24"/>
        </w:rPr>
      </w:pPr>
    </w:p>
    <w:p w:rsidR="003C1450" w:rsidRDefault="003C1450" w:rsidP="003C1450">
      <w:pPr>
        <w:pStyle w:val="Ttulo1"/>
        <w:numPr>
          <w:ilvl w:val="0"/>
          <w:numId w:val="43"/>
        </w:numPr>
        <w:ind w:left="851"/>
      </w:pPr>
      <w:bookmarkStart w:id="1" w:name="_Toc273073"/>
      <w:r w:rsidRPr="00F9058E">
        <w:t>Del Pronunciamiento Simple</w:t>
      </w:r>
      <w:bookmarkEnd w:id="1"/>
    </w:p>
    <w:p w:rsidR="003C1450" w:rsidRPr="00530CB3" w:rsidRDefault="003C1450" w:rsidP="003C1450"/>
    <w:p w:rsidR="003C1450" w:rsidRPr="00B22B30" w:rsidRDefault="003C1450" w:rsidP="003C1450">
      <w:pPr>
        <w:pStyle w:val="Prrafodelista"/>
        <w:numPr>
          <w:ilvl w:val="0"/>
          <w:numId w:val="11"/>
        </w:numPr>
        <w:spacing w:before="240" w:after="240" w:line="360" w:lineRule="auto"/>
        <w:ind w:left="426" w:right="333" w:hanging="426"/>
        <w:jc w:val="both"/>
        <w:rPr>
          <w:rFonts w:ascii="Palatino Linotype" w:eastAsia="Times New Roman" w:hAnsi="Palatino Linotype" w:cs="Arial"/>
          <w:i/>
          <w:sz w:val="24"/>
        </w:rPr>
      </w:pPr>
      <w:r>
        <w:rPr>
          <w:rFonts w:ascii="Palatino Linotype" w:eastAsia="Times New Roman" w:hAnsi="Palatino Linotype" w:cs="Arial"/>
          <w:sz w:val="24"/>
        </w:rPr>
        <w:t xml:space="preserve">El primer aspecto sobre el cual formulo el presente voto particular, es en razón de que el </w:t>
      </w:r>
      <w:r w:rsidRPr="00B22B30">
        <w:rPr>
          <w:rFonts w:ascii="Palatino Linotype" w:eastAsia="Times New Roman" w:hAnsi="Palatino Linotype" w:cs="Arial"/>
          <w:sz w:val="24"/>
        </w:rPr>
        <w:t xml:space="preserve">ponente se manifestó al respecto enfatizando que en el caso de que el </w:t>
      </w:r>
      <w:r w:rsidRPr="00B22B30">
        <w:rPr>
          <w:rFonts w:ascii="Palatino Linotype" w:eastAsia="Times New Roman" w:hAnsi="Palatino Linotype" w:cs="Arial"/>
          <w:b/>
          <w:sz w:val="24"/>
        </w:rPr>
        <w:t xml:space="preserve">SUJETO OBLIGADO </w:t>
      </w:r>
      <w:r w:rsidRPr="00B22B30">
        <w:rPr>
          <w:rFonts w:ascii="Palatino Linotype" w:eastAsia="Times New Roman" w:hAnsi="Palatino Linotype" w:cs="Arial"/>
          <w:sz w:val="24"/>
        </w:rPr>
        <w:t>no cuente con la información, bastará con que se pronuncie al respecto y lo haga del conocimiento del particular.</w:t>
      </w:r>
    </w:p>
    <w:p w:rsidR="003C1450" w:rsidRPr="00427B79"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en cuestión debe de demostrar que no genera, posee o administre la informa</w:t>
      </w:r>
      <w:r>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3C1450" w:rsidRPr="00B22B30" w:rsidRDefault="003C1450" w:rsidP="003C1450">
      <w:pPr>
        <w:pStyle w:val="Ttulo1"/>
        <w:numPr>
          <w:ilvl w:val="0"/>
          <w:numId w:val="42"/>
        </w:numPr>
        <w:ind w:left="1134"/>
        <w:rPr>
          <w:b w:val="0"/>
        </w:rPr>
      </w:pPr>
      <w:r w:rsidRPr="00B22B30">
        <w:t xml:space="preserve"> </w:t>
      </w:r>
      <w:bookmarkStart w:id="2" w:name="_Toc273074"/>
      <w:r w:rsidRPr="00B22B30">
        <w:t>Del Derecho de Acceso a la información pública y el deber de motivar.</w:t>
      </w:r>
      <w:bookmarkEnd w:id="2"/>
    </w:p>
    <w:p w:rsidR="003C1450" w:rsidRPr="00427B79" w:rsidRDefault="003C1450" w:rsidP="003C1450">
      <w:pPr>
        <w:pStyle w:val="Prrafodelista"/>
        <w:spacing w:line="360" w:lineRule="auto"/>
        <w:ind w:left="426"/>
        <w:jc w:val="both"/>
        <w:rPr>
          <w:rFonts w:ascii="Palatino Linotype" w:hAnsi="Palatino Linotype" w:cs="Arial"/>
          <w:sz w:val="24"/>
          <w:szCs w:val="24"/>
        </w:rPr>
      </w:pPr>
    </w:p>
    <w:p w:rsidR="003C1450" w:rsidRPr="00427B79" w:rsidRDefault="003C1450" w:rsidP="003C1450">
      <w:pPr>
        <w:pStyle w:val="Prrafodelista"/>
        <w:numPr>
          <w:ilvl w:val="0"/>
          <w:numId w:val="11"/>
        </w:numPr>
        <w:spacing w:after="0" w:line="360" w:lineRule="auto"/>
        <w:ind w:left="426" w:hanging="426"/>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lastRenderedPageBreak/>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3C1450" w:rsidRPr="00427B79" w:rsidRDefault="003C1450" w:rsidP="003C1450">
      <w:pPr>
        <w:pStyle w:val="Prrafodelista"/>
        <w:spacing w:after="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w:t>
      </w:r>
      <w:r w:rsidRPr="00427B79">
        <w:rPr>
          <w:rFonts w:ascii="Palatino Linotype" w:hAnsi="Palatino Linotype" w:cs="Arial"/>
          <w:bCs/>
          <w:color w:val="000000" w:themeColor="text1"/>
          <w:sz w:val="24"/>
          <w:szCs w:val="24"/>
        </w:rPr>
        <w:lastRenderedPageBreak/>
        <w:t>temporalmente por razones de interés público y en los términos expresamente señalados en la ley.</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3C1450" w:rsidRPr="00427B79" w:rsidRDefault="003C1450" w:rsidP="003C1450">
      <w:pPr>
        <w:pStyle w:val="Prrafodelista"/>
        <w:numPr>
          <w:ilvl w:val="0"/>
          <w:numId w:val="4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3C1450" w:rsidRPr="00427B79" w:rsidRDefault="003C1450" w:rsidP="003C1450">
      <w:pPr>
        <w:pStyle w:val="Prrafodelista"/>
        <w:autoSpaceDE w:val="0"/>
        <w:autoSpaceDN w:val="0"/>
        <w:adjustRightInd w:val="0"/>
        <w:spacing w:before="240" w:after="240" w:line="360" w:lineRule="auto"/>
        <w:ind w:left="426" w:right="616" w:hanging="426"/>
        <w:jc w:val="both"/>
        <w:rPr>
          <w:rFonts w:ascii="Palatino Linotype" w:hAnsi="Palatino Linotype" w:cs="Arial"/>
          <w:bCs/>
          <w:color w:val="000000" w:themeColor="text1"/>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w:t>
      </w:r>
      <w:r w:rsidRPr="00427B79">
        <w:rPr>
          <w:rFonts w:ascii="Palatino Linotype" w:hAnsi="Palatino Linotype"/>
          <w:sz w:val="24"/>
          <w:szCs w:val="24"/>
        </w:rPr>
        <w:lastRenderedPageBreak/>
        <w:t>para afirmar que existe un verdadero estado social y democrático de derecho, en el cual todas las personas pueden participar activamente en los asuntos que las afecten y una Administración Pública comprometida con el bienestar general.</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427B79"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3C1450" w:rsidRPr="00427B79" w:rsidRDefault="003C1450" w:rsidP="003C1450">
      <w:pPr>
        <w:pStyle w:val="Prrafodelista"/>
        <w:spacing w:before="240" w:after="240" w:line="360" w:lineRule="auto"/>
        <w:ind w:left="426" w:hanging="426"/>
        <w:jc w:val="both"/>
        <w:rPr>
          <w:rFonts w:ascii="Palatino Linotype" w:hAnsi="Palatino Linotype" w:cs="Arial"/>
          <w:sz w:val="24"/>
          <w:szCs w:val="24"/>
          <w:highlight w:val="lightGray"/>
        </w:rPr>
      </w:pPr>
    </w:p>
    <w:p w:rsidR="003C1450" w:rsidRPr="00D35B4C" w:rsidRDefault="003C1450" w:rsidP="003C1450">
      <w:pPr>
        <w:pStyle w:val="Prrafodelista"/>
        <w:numPr>
          <w:ilvl w:val="0"/>
          <w:numId w:val="1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3C1450" w:rsidRPr="00D35B4C" w:rsidRDefault="003C1450" w:rsidP="003C1450">
      <w:pPr>
        <w:pStyle w:val="Prrafodelista"/>
        <w:spacing w:before="240" w:after="240" w:line="360" w:lineRule="auto"/>
        <w:ind w:left="426" w:hanging="426"/>
        <w:jc w:val="both"/>
        <w:rPr>
          <w:rFonts w:ascii="Palatino Linotype" w:hAnsi="Palatino Linotype" w:cs="Arial"/>
          <w:sz w:val="24"/>
          <w:szCs w:val="24"/>
        </w:rPr>
      </w:pPr>
    </w:p>
    <w:p w:rsidR="003C1450" w:rsidRPr="00D35B4C" w:rsidRDefault="003C1450" w:rsidP="003C1450">
      <w:pPr>
        <w:pStyle w:val="Prrafodelista"/>
        <w:numPr>
          <w:ilvl w:val="0"/>
          <w:numId w:val="1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3C1450" w:rsidRPr="00427B79" w:rsidRDefault="003C1450" w:rsidP="003C1450">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3C1450" w:rsidRPr="006A0497" w:rsidRDefault="003C1450" w:rsidP="003C1450">
      <w:pPr>
        <w:pStyle w:val="Prrafodelista"/>
        <w:numPr>
          <w:ilvl w:val="0"/>
          <w:numId w:val="1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sz w:val="24"/>
          <w:szCs w:val="24"/>
        </w:rPr>
        <w:t>Bajo la tesitura de lo anteriormente expuesto</w:t>
      </w:r>
      <w:r w:rsidRPr="006A0497">
        <w:rPr>
          <w:rFonts w:ascii="Palatino Linotype" w:hAnsi="Palatino Linotype"/>
          <w:bCs/>
          <w:color w:val="000000" w:themeColor="text1"/>
          <w:sz w:val="24"/>
          <w:szCs w:val="24"/>
        </w:rPr>
        <w:t xml:space="preserve"> </w:t>
      </w:r>
      <w:r w:rsidRPr="006A0497">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3C1450" w:rsidRPr="006A0497" w:rsidRDefault="003C1450" w:rsidP="003C1450">
      <w:pPr>
        <w:pStyle w:val="Prrafodelista"/>
        <w:spacing w:before="240" w:after="240" w:line="360" w:lineRule="auto"/>
        <w:ind w:left="426" w:hanging="426"/>
        <w:jc w:val="both"/>
        <w:rPr>
          <w:rFonts w:ascii="Palatino Linotype" w:hAnsi="Palatino Linotype"/>
          <w:bCs/>
          <w:color w:val="000000" w:themeColor="text1"/>
          <w:sz w:val="24"/>
          <w:szCs w:val="24"/>
        </w:rPr>
      </w:pPr>
    </w:p>
    <w:p w:rsidR="003C1450" w:rsidRPr="006A0497" w:rsidRDefault="003C1450" w:rsidP="003C1450">
      <w:pPr>
        <w:pStyle w:val="Prrafodelista"/>
        <w:numPr>
          <w:ilvl w:val="0"/>
          <w:numId w:val="1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bCs/>
          <w:color w:val="000000" w:themeColor="text1"/>
          <w:sz w:val="24"/>
          <w:szCs w:val="24"/>
        </w:rPr>
        <w:t xml:space="preserve">Por lo que si en los puntos resolutivos se está ordenando al </w:t>
      </w:r>
      <w:r w:rsidRPr="006A0497">
        <w:rPr>
          <w:rFonts w:ascii="Palatino Linotype" w:hAnsi="Palatino Linotype"/>
          <w:b/>
          <w:bCs/>
          <w:color w:val="000000" w:themeColor="text1"/>
          <w:sz w:val="24"/>
          <w:szCs w:val="24"/>
        </w:rPr>
        <w:t>SUJETO OBLIGADO</w:t>
      </w:r>
      <w:r w:rsidRPr="006A0497">
        <w:rPr>
          <w:rFonts w:ascii="Palatino Linotype" w:hAnsi="Palatino Linotype"/>
          <w:bCs/>
          <w:color w:val="000000" w:themeColor="text1"/>
          <w:sz w:val="24"/>
          <w:szCs w:val="24"/>
        </w:rPr>
        <w:t xml:space="preserve"> </w:t>
      </w:r>
      <w:r w:rsidRPr="006A0497">
        <w:rPr>
          <w:rFonts w:ascii="Palatino Linotype" w:hAnsi="Palatino Linotype" w:cs="Arial"/>
          <w:sz w:val="24"/>
          <w:szCs w:val="24"/>
        </w:rPr>
        <w:t xml:space="preserve">realizar una búsqueda de la información solicitada en términos del Considerando </w:t>
      </w:r>
      <w:r w:rsidRPr="006A0497">
        <w:rPr>
          <w:rFonts w:ascii="Palatino Linotype" w:hAnsi="Palatino Linotype" w:cs="Arial"/>
          <w:b/>
          <w:sz w:val="24"/>
          <w:szCs w:val="24"/>
        </w:rPr>
        <w:t>CUARTO</w:t>
      </w:r>
      <w:r w:rsidRPr="006A0497">
        <w:rPr>
          <w:rFonts w:ascii="Palatino Linotype" w:hAnsi="Palatino Linotype" w:cs="Arial"/>
          <w:sz w:val="24"/>
          <w:szCs w:val="24"/>
        </w:rPr>
        <w:t>, y entregarla al particular ya no cabe la manifestación simple y llana, sino que se deben observar dos puntos importantes:</w:t>
      </w:r>
    </w:p>
    <w:p w:rsidR="003C1450" w:rsidRPr="00427B79" w:rsidRDefault="003C1450" w:rsidP="003C1450">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3C1450" w:rsidRPr="00D35B4C" w:rsidRDefault="003C1450" w:rsidP="003C1450">
      <w:pPr>
        <w:pStyle w:val="Prrafodelista"/>
        <w:numPr>
          <w:ilvl w:val="0"/>
          <w:numId w:val="4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3C1450" w:rsidRPr="00D35B4C" w:rsidRDefault="003C1450" w:rsidP="003C1450">
      <w:pPr>
        <w:pStyle w:val="Prrafodelista"/>
        <w:spacing w:before="240" w:after="240" w:line="360" w:lineRule="auto"/>
        <w:ind w:left="851" w:right="616" w:hanging="426"/>
        <w:jc w:val="both"/>
        <w:rPr>
          <w:rFonts w:ascii="Palatino Linotype" w:hAnsi="Palatino Linotype"/>
          <w:bCs/>
          <w:color w:val="000000" w:themeColor="text1"/>
          <w:sz w:val="24"/>
          <w:szCs w:val="24"/>
        </w:rPr>
      </w:pPr>
    </w:p>
    <w:p w:rsidR="003C1450" w:rsidRPr="00D35B4C" w:rsidRDefault="003C1450" w:rsidP="003C1450">
      <w:pPr>
        <w:pStyle w:val="Prrafodelista"/>
        <w:numPr>
          <w:ilvl w:val="0"/>
          <w:numId w:val="4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3C1450" w:rsidRPr="00427B79" w:rsidRDefault="003C1450" w:rsidP="003C1450">
      <w:pPr>
        <w:pStyle w:val="Prrafodelista"/>
        <w:spacing w:before="240" w:after="240" w:line="360" w:lineRule="auto"/>
        <w:ind w:left="426" w:hanging="426"/>
        <w:jc w:val="both"/>
        <w:rPr>
          <w:rFonts w:ascii="Palatino Linotype" w:hAnsi="Palatino Linotype"/>
          <w:sz w:val="24"/>
          <w:szCs w:val="24"/>
          <w:highlight w:val="lightGray"/>
        </w:rPr>
      </w:pPr>
    </w:p>
    <w:p w:rsidR="003C1450" w:rsidRPr="00B22B30" w:rsidRDefault="003C1450" w:rsidP="003C1450">
      <w:pPr>
        <w:pStyle w:val="Prrafodelista"/>
        <w:numPr>
          <w:ilvl w:val="0"/>
          <w:numId w:val="1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3C1450" w:rsidRPr="00D35B4C" w:rsidRDefault="003C1450" w:rsidP="003C1450">
      <w:pPr>
        <w:pStyle w:val="Prrafodelista"/>
        <w:pBdr>
          <w:top w:val="nil"/>
          <w:left w:val="nil"/>
          <w:bottom w:val="nil"/>
          <w:right w:val="nil"/>
          <w:between w:val="nil"/>
          <w:bar w:val="nil"/>
        </w:pBdr>
        <w:spacing w:before="240" w:after="240" w:line="360" w:lineRule="auto"/>
        <w:ind w:left="426"/>
        <w:jc w:val="both"/>
        <w:rPr>
          <w:rFonts w:ascii="Palatino Linotype" w:hAnsi="Palatino Linotype"/>
          <w:sz w:val="24"/>
          <w:szCs w:val="24"/>
        </w:rPr>
      </w:pPr>
    </w:p>
    <w:p w:rsidR="003C1450" w:rsidRPr="00B22B30" w:rsidRDefault="003C1450" w:rsidP="003C1450">
      <w:pPr>
        <w:pStyle w:val="Ttulo1"/>
        <w:numPr>
          <w:ilvl w:val="0"/>
          <w:numId w:val="42"/>
        </w:numPr>
        <w:ind w:left="1134" w:hanging="708"/>
        <w:rPr>
          <w:rFonts w:eastAsia="Calibri"/>
          <w:b w:val="0"/>
          <w:szCs w:val="24"/>
        </w:rPr>
      </w:pPr>
      <w:bookmarkStart w:id="3" w:name="_Toc273075"/>
      <w:r w:rsidRPr="00B22B30">
        <w:rPr>
          <w:rFonts w:eastAsia="Calibri"/>
          <w:szCs w:val="24"/>
        </w:rPr>
        <w:t>De</w:t>
      </w:r>
      <w:r>
        <w:rPr>
          <w:rFonts w:eastAsia="Calibri"/>
          <w:szCs w:val="24"/>
        </w:rPr>
        <w:t xml:space="preserve"> la fundamentación y motivación.</w:t>
      </w:r>
      <w:bookmarkEnd w:id="3"/>
    </w:p>
    <w:p w:rsidR="003C1450" w:rsidRPr="00427B79" w:rsidRDefault="003C1450" w:rsidP="003C1450">
      <w:pPr>
        <w:spacing w:after="0" w:line="360" w:lineRule="auto"/>
        <w:ind w:left="426" w:hanging="426"/>
        <w:contextualSpacing/>
        <w:jc w:val="both"/>
        <w:rPr>
          <w:rFonts w:ascii="Palatino Linotype" w:eastAsia="Calibri" w:hAnsi="Palatino Linotype" w:cs="Arial"/>
          <w:sz w:val="24"/>
          <w:szCs w:val="24"/>
        </w:rPr>
      </w:pPr>
    </w:p>
    <w:p w:rsidR="003C1450" w:rsidRPr="00427B79"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3C1450" w:rsidRPr="00427B79" w:rsidRDefault="003C1450" w:rsidP="003C1450">
      <w:pPr>
        <w:spacing w:after="0" w:line="360" w:lineRule="auto"/>
        <w:ind w:left="426" w:right="618" w:hanging="426"/>
        <w:contextualSpacing/>
        <w:jc w:val="both"/>
        <w:rPr>
          <w:rFonts w:ascii="Palatino Linotype" w:eastAsiaTheme="minorEastAsia" w:hAnsi="Palatino Linotype" w:cs="Arial"/>
          <w:sz w:val="24"/>
          <w:szCs w:val="24"/>
          <w:lang w:val="es-ES_tradnl" w:eastAsia="es-ES"/>
        </w:rPr>
      </w:pP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3C1450" w:rsidRPr="00B73B30" w:rsidRDefault="003C1450" w:rsidP="003C1450">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3C1450" w:rsidRPr="00427B79" w:rsidRDefault="003C1450" w:rsidP="003C1450">
      <w:pPr>
        <w:spacing w:after="0" w:line="360" w:lineRule="auto"/>
        <w:ind w:left="426" w:hanging="426"/>
        <w:contextualSpacing/>
        <w:jc w:val="both"/>
        <w:rPr>
          <w:rFonts w:ascii="Palatino Linotype" w:eastAsiaTheme="minorEastAsia" w:hAnsi="Palatino Linotype" w:cs="Arial"/>
          <w:sz w:val="24"/>
          <w:szCs w:val="24"/>
          <w:lang w:val="es-ES" w:eastAsia="es-ES"/>
        </w:rPr>
      </w:pPr>
    </w:p>
    <w:p w:rsidR="003C1450" w:rsidRPr="00427B79"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C1450" w:rsidRPr="00427B79" w:rsidRDefault="003C1450" w:rsidP="003C1450">
      <w:pPr>
        <w:spacing w:after="0" w:line="360" w:lineRule="auto"/>
        <w:ind w:left="426" w:hanging="426"/>
        <w:contextualSpacing/>
        <w:jc w:val="both"/>
        <w:rPr>
          <w:rFonts w:ascii="Palatino Linotype" w:eastAsia="Calibri" w:hAnsi="Palatino Linotype" w:cs="Arial"/>
          <w:sz w:val="24"/>
          <w:szCs w:val="24"/>
        </w:rPr>
      </w:pPr>
    </w:p>
    <w:p w:rsidR="003C1450"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w:t>
      </w:r>
      <w:r w:rsidRPr="00427B79">
        <w:rPr>
          <w:rFonts w:ascii="Palatino Linotype" w:eastAsia="Calibri" w:hAnsi="Palatino Linotype" w:cs="Arial"/>
          <w:sz w:val="24"/>
          <w:szCs w:val="24"/>
        </w:rPr>
        <w:lastRenderedPageBreak/>
        <w:t xml:space="preserve">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3C1450" w:rsidRDefault="003C1450" w:rsidP="003C1450">
      <w:pPr>
        <w:pStyle w:val="Prrafodelista"/>
        <w:ind w:left="426"/>
        <w:rPr>
          <w:rFonts w:ascii="Palatino Linotype" w:eastAsia="Calibri" w:hAnsi="Palatino Linotype" w:cs="Arial"/>
          <w:sz w:val="24"/>
          <w:szCs w:val="24"/>
        </w:rPr>
      </w:pPr>
    </w:p>
    <w:p w:rsidR="003C1450"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3C1450" w:rsidRDefault="003C1450" w:rsidP="003C1450">
      <w:pPr>
        <w:pStyle w:val="Prrafodelista"/>
        <w:ind w:left="426" w:hanging="426"/>
        <w:rPr>
          <w:rFonts w:ascii="Palatino Linotype" w:eastAsia="Calibri" w:hAnsi="Palatino Linotype" w:cs="Arial"/>
          <w:sz w:val="24"/>
          <w:szCs w:val="24"/>
          <w:lang w:val="es-ES_tradnl"/>
        </w:rPr>
      </w:pPr>
    </w:p>
    <w:p w:rsidR="003C1450" w:rsidRPr="00A22908"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A22908">
        <w:rPr>
          <w:rFonts w:ascii="Palatino Linotype" w:eastAsia="Calibri" w:hAnsi="Palatino Linotype" w:cs="Arial"/>
          <w:sz w:val="24"/>
          <w:szCs w:val="24"/>
          <w:lang w:val="es-ES_tradnl"/>
        </w:rPr>
        <w:lastRenderedPageBreak/>
        <w:t>se impone a las autoridades la obligación de fundar y motivar todo acto que implique una molestia en la esfera de derecho de las personas:</w:t>
      </w:r>
    </w:p>
    <w:p w:rsidR="003C1450" w:rsidRPr="00A22908" w:rsidRDefault="003C1450" w:rsidP="003C1450">
      <w:pPr>
        <w:spacing w:after="0" w:line="360" w:lineRule="auto"/>
        <w:ind w:left="426" w:hanging="426"/>
        <w:contextualSpacing/>
        <w:jc w:val="both"/>
        <w:rPr>
          <w:rFonts w:ascii="Palatino Linotype" w:eastAsia="Calibri" w:hAnsi="Palatino Linotype" w:cs="Arial"/>
          <w:sz w:val="24"/>
          <w:szCs w:val="24"/>
          <w:lang w:val="es-ES"/>
        </w:rPr>
      </w:pPr>
    </w:p>
    <w:p w:rsidR="003C1450" w:rsidRPr="00A22908" w:rsidRDefault="003C1450" w:rsidP="003C1450">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3C1450" w:rsidRPr="00A22908" w:rsidRDefault="003C1450" w:rsidP="003C1450">
      <w:pPr>
        <w:spacing w:after="0" w:line="360" w:lineRule="auto"/>
        <w:ind w:left="426" w:hanging="426"/>
        <w:contextualSpacing/>
        <w:jc w:val="both"/>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3C1450" w:rsidRPr="00DB2E2D" w:rsidRDefault="003C1450" w:rsidP="003C1450">
      <w:pPr>
        <w:pStyle w:val="Prrafodelista"/>
        <w:spacing w:after="0" w:line="360" w:lineRule="auto"/>
        <w:ind w:left="426" w:hanging="426"/>
        <w:jc w:val="both"/>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3C1450" w:rsidRPr="00DB2E2D" w:rsidRDefault="003C1450" w:rsidP="003C1450">
      <w:pPr>
        <w:pStyle w:val="Prrafodelista"/>
        <w:spacing w:after="0" w:line="360" w:lineRule="auto"/>
        <w:ind w:left="426" w:hanging="426"/>
        <w:jc w:val="both"/>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3C1450" w:rsidRPr="00DB2E2D" w:rsidRDefault="003C1450" w:rsidP="003C1450">
      <w:pPr>
        <w:pStyle w:val="Prrafodelista"/>
        <w:ind w:left="426" w:hanging="426"/>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w:t>
      </w:r>
      <w:r w:rsidRPr="00DB2E2D">
        <w:rPr>
          <w:rFonts w:ascii="Palatino Linotype" w:eastAsia="Calibri" w:hAnsi="Palatino Linotype" w:cs="Arial"/>
          <w:sz w:val="24"/>
          <w:szCs w:val="24"/>
          <w:lang w:val="es-ES_tradnl"/>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3C1450" w:rsidRPr="00DB2E2D" w:rsidRDefault="003C1450" w:rsidP="003C1450">
      <w:pPr>
        <w:spacing w:after="0" w:line="360" w:lineRule="auto"/>
        <w:ind w:left="426" w:right="616" w:hanging="426"/>
        <w:contextualSpacing/>
        <w:jc w:val="both"/>
        <w:rPr>
          <w:rFonts w:ascii="Palatino Linotype" w:eastAsia="Calibri" w:hAnsi="Palatino Linotype" w:cs="Arial"/>
          <w:i/>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C1450" w:rsidRPr="00DB2E2D" w:rsidRDefault="003C1450" w:rsidP="003C1450">
      <w:pPr>
        <w:pStyle w:val="Prrafodelista"/>
        <w:spacing w:after="0" w:line="360" w:lineRule="auto"/>
        <w:ind w:left="426" w:hanging="426"/>
        <w:jc w:val="both"/>
        <w:rPr>
          <w:rFonts w:ascii="Palatino Linotype" w:eastAsia="Calibri" w:hAnsi="Palatino Linotype" w:cs="Arial"/>
          <w:sz w:val="24"/>
          <w:szCs w:val="24"/>
          <w:lang w:val="es-ES_tradnl"/>
        </w:rPr>
      </w:pPr>
    </w:p>
    <w:p w:rsidR="003C1450" w:rsidRPr="00DB2E2D"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C1450" w:rsidRPr="00A22908" w:rsidRDefault="003C1450" w:rsidP="003C1450">
      <w:pPr>
        <w:pStyle w:val="Prrafodelista"/>
        <w:spacing w:after="0" w:line="360" w:lineRule="auto"/>
        <w:ind w:left="426" w:hanging="426"/>
        <w:jc w:val="both"/>
        <w:rPr>
          <w:rFonts w:ascii="Palatino Linotype" w:eastAsia="Calibri" w:hAnsi="Palatino Linotype" w:cs="Arial"/>
          <w:sz w:val="24"/>
          <w:szCs w:val="24"/>
          <w:lang w:val="es-ES_tradnl"/>
        </w:rPr>
      </w:pPr>
    </w:p>
    <w:p w:rsidR="003C1450" w:rsidRPr="00427B79" w:rsidRDefault="003C1450" w:rsidP="003C1450">
      <w:pPr>
        <w:numPr>
          <w:ilvl w:val="0"/>
          <w:numId w:val="1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Es de mencionar que </w:t>
      </w:r>
      <w:r>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Pr>
          <w:rFonts w:ascii="Palatino Linotype" w:eastAsia="Calibri" w:hAnsi="Palatino Linotype" w:cs="Arial"/>
          <w:sz w:val="24"/>
          <w:szCs w:val="24"/>
        </w:rPr>
        <w:t xml:space="preserve"> por no encontrarse dentro de sus </w:t>
      </w:r>
      <w:r w:rsidRPr="0083488C">
        <w:rPr>
          <w:rFonts w:ascii="Palatino Linotype" w:hAnsi="Palatino Linotype"/>
          <w:sz w:val="24"/>
          <w:szCs w:val="24"/>
        </w:rPr>
        <w:t>facultades, competencias o funcione</w:t>
      </w:r>
      <w:r>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3C1450" w:rsidRPr="00427B79" w:rsidRDefault="003C1450" w:rsidP="003C1450">
      <w:pPr>
        <w:spacing w:after="0" w:line="360" w:lineRule="auto"/>
        <w:ind w:left="426" w:hanging="426"/>
        <w:contextualSpacing/>
        <w:jc w:val="both"/>
        <w:rPr>
          <w:b/>
          <w:bCs/>
          <w:sz w:val="24"/>
          <w:szCs w:val="24"/>
        </w:rPr>
      </w:pPr>
    </w:p>
    <w:p w:rsidR="003C1450" w:rsidRPr="00DB2E2D" w:rsidRDefault="003C1450" w:rsidP="003C1450">
      <w:pPr>
        <w:spacing w:after="0" w:line="360" w:lineRule="auto"/>
        <w:ind w:left="567" w:right="616"/>
        <w:contextualSpacing/>
        <w:jc w:val="both"/>
        <w:rPr>
          <w:rFonts w:ascii="Palatino Linotype" w:eastAsia="Calibri" w:hAnsi="Palatino Linotype" w:cs="Arial"/>
          <w:i/>
          <w:szCs w:val="24"/>
        </w:rPr>
      </w:pPr>
      <w:r w:rsidRPr="00DB2E2D">
        <w:rPr>
          <w:rFonts w:ascii="Palatino Linotype" w:hAnsi="Palatino Linotype"/>
          <w:b/>
          <w:bCs/>
          <w:i/>
          <w:szCs w:val="24"/>
        </w:rPr>
        <w:t xml:space="preserve">Artículo 20. </w:t>
      </w:r>
      <w:r w:rsidRPr="00DB2E2D">
        <w:rPr>
          <w:rFonts w:ascii="Palatino Linotype" w:hAnsi="Palatino Linotype"/>
          <w:i/>
          <w:szCs w:val="24"/>
        </w:rPr>
        <w:t xml:space="preserve">Ante la negativa del acceso a la información </w:t>
      </w:r>
      <w:r w:rsidRPr="00DB2E2D">
        <w:rPr>
          <w:rFonts w:ascii="Palatino Linotype" w:hAnsi="Palatino Linotype"/>
          <w:b/>
          <w:i/>
          <w:szCs w:val="24"/>
        </w:rPr>
        <w:t>o su inexistencia</w:t>
      </w:r>
      <w:r w:rsidRPr="00DB2E2D">
        <w:rPr>
          <w:rFonts w:ascii="Palatino Linotype" w:hAnsi="Palatino Linotype"/>
          <w:i/>
          <w:szCs w:val="24"/>
        </w:rPr>
        <w:t xml:space="preserve">, el sujeto obligado deberá demostrar que la información solicitada está prevista en alguna de las excepciones contenidas en esta Ley o, en su caso, </w:t>
      </w:r>
      <w:r w:rsidRPr="00DB2E2D">
        <w:rPr>
          <w:rFonts w:ascii="Palatino Linotype" w:hAnsi="Palatino Linotype"/>
          <w:b/>
          <w:i/>
          <w:szCs w:val="24"/>
        </w:rPr>
        <w:t>demostrar que la información no se refiere a alguna de sus facultades, competencias o funciones.</w:t>
      </w:r>
    </w:p>
    <w:p w:rsidR="003C1450" w:rsidRPr="00427B79" w:rsidRDefault="003C1450" w:rsidP="003C1450">
      <w:pPr>
        <w:spacing w:after="0" w:line="360" w:lineRule="auto"/>
        <w:ind w:left="426" w:hanging="426"/>
        <w:contextualSpacing/>
        <w:jc w:val="both"/>
        <w:rPr>
          <w:rFonts w:ascii="Palatino Linotype" w:eastAsia="Calibri" w:hAnsi="Palatino Linotype" w:cs="Arial"/>
          <w:sz w:val="24"/>
          <w:szCs w:val="24"/>
        </w:rPr>
      </w:pPr>
    </w:p>
    <w:p w:rsidR="003C1450" w:rsidRPr="0083488C" w:rsidRDefault="003C1450" w:rsidP="003C1450">
      <w:pPr>
        <w:pStyle w:val="Prrafodelista"/>
        <w:numPr>
          <w:ilvl w:val="0"/>
          <w:numId w:val="11"/>
        </w:numPr>
        <w:spacing w:after="0" w:line="360" w:lineRule="auto"/>
        <w:ind w:left="426" w:hanging="426"/>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3C1450" w:rsidRPr="0083488C" w:rsidRDefault="003C1450" w:rsidP="003C1450">
      <w:pPr>
        <w:spacing w:after="0" w:line="360" w:lineRule="auto"/>
        <w:ind w:left="426" w:hanging="426"/>
        <w:jc w:val="both"/>
        <w:rPr>
          <w:rFonts w:ascii="Palatino Linotype" w:eastAsia="Calibri" w:hAnsi="Palatino Linotype" w:cs="Arial"/>
          <w:sz w:val="24"/>
          <w:szCs w:val="24"/>
        </w:rPr>
      </w:pPr>
    </w:p>
    <w:p w:rsidR="003C1450" w:rsidRDefault="003C1450" w:rsidP="003C1450">
      <w:pPr>
        <w:tabs>
          <w:tab w:val="left" w:pos="284"/>
        </w:tabs>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w:t>
      </w:r>
      <w:r w:rsidRPr="0083488C">
        <w:rPr>
          <w:rFonts w:ascii="Palatino Linotype" w:hAnsi="Palatino Linotype" w:cs="Times New Roman"/>
          <w:i/>
        </w:rPr>
        <w:lastRenderedPageBreak/>
        <w:t xml:space="preserve">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F72F39" w:rsidRPr="0083488C" w:rsidRDefault="00F72F39" w:rsidP="003C1450">
      <w:pPr>
        <w:tabs>
          <w:tab w:val="left" w:pos="284"/>
        </w:tabs>
        <w:autoSpaceDE w:val="0"/>
        <w:autoSpaceDN w:val="0"/>
        <w:adjustRightInd w:val="0"/>
        <w:spacing w:after="0" w:line="360" w:lineRule="auto"/>
        <w:ind w:left="567" w:right="616"/>
        <w:jc w:val="both"/>
        <w:rPr>
          <w:rFonts w:ascii="Palatino Linotype" w:hAnsi="Palatino Linotype" w:cs="Times New Roman"/>
          <w:i/>
        </w:rPr>
      </w:pPr>
    </w:p>
    <w:p w:rsidR="003C1450" w:rsidRPr="00DB2E2D" w:rsidRDefault="003C1450" w:rsidP="003C1450">
      <w:pPr>
        <w:numPr>
          <w:ilvl w:val="0"/>
          <w:numId w:val="11"/>
        </w:numPr>
        <w:spacing w:after="0" w:line="360" w:lineRule="auto"/>
        <w:ind w:left="426" w:hanging="426"/>
        <w:contextualSpacing/>
        <w:jc w:val="both"/>
        <w:rPr>
          <w:rFonts w:ascii="Palatino Linotype" w:hAnsi="Palatino Linotype"/>
          <w:szCs w:val="24"/>
        </w:rPr>
      </w:pPr>
      <w:r w:rsidRPr="00DB2E2D">
        <w:rPr>
          <w:rFonts w:ascii="Palatino Linotype" w:eastAsia="Calibri" w:hAnsi="Palatino Linotype" w:cs="Arial"/>
          <w:szCs w:val="24"/>
        </w:rPr>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3C1450" w:rsidRPr="00DB2E2D" w:rsidRDefault="003C1450" w:rsidP="003C1450">
      <w:pPr>
        <w:spacing w:after="0" w:line="360" w:lineRule="auto"/>
        <w:ind w:left="426" w:hanging="426"/>
        <w:contextualSpacing/>
        <w:jc w:val="both"/>
        <w:rPr>
          <w:rFonts w:ascii="Palatino Linotype" w:hAnsi="Palatino Linotype"/>
          <w:szCs w:val="24"/>
        </w:rPr>
      </w:pPr>
    </w:p>
    <w:p w:rsidR="003C1450" w:rsidRPr="00DB2E2D" w:rsidRDefault="003C1450" w:rsidP="003C1450">
      <w:pPr>
        <w:numPr>
          <w:ilvl w:val="0"/>
          <w:numId w:val="11"/>
        </w:numPr>
        <w:spacing w:after="0" w:line="360" w:lineRule="auto"/>
        <w:ind w:left="426" w:hanging="426"/>
        <w:contextualSpacing/>
        <w:jc w:val="both"/>
        <w:rPr>
          <w:rFonts w:ascii="Palatino Linotype" w:hAnsi="Palatino Linotype"/>
          <w:szCs w:val="24"/>
        </w:rPr>
      </w:pPr>
      <w:r w:rsidRPr="00DB2E2D">
        <w:rPr>
          <w:rFonts w:ascii="Palatino Linotype" w:eastAsia="Calibri" w:hAnsi="Palatino Linotype" w:cs="Arial"/>
          <w:szCs w:val="24"/>
        </w:rPr>
        <w:t>T</w:t>
      </w:r>
      <w:r w:rsidRPr="00DB2E2D">
        <w:rPr>
          <w:rFonts w:ascii="Palatino Linotype" w:eastAsia="Calibri" w:hAnsi="Palatino Linotype"/>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D42114" w:rsidRDefault="00D42114" w:rsidP="00530CB3">
      <w:pPr>
        <w:pStyle w:val="Prrafodelista"/>
        <w:ind w:left="426"/>
        <w:rPr>
          <w:rFonts w:ascii="Palatino Linotype" w:hAnsi="Palatino Linotype" w:cs="Arial"/>
          <w:sz w:val="24"/>
          <w:szCs w:val="24"/>
        </w:rPr>
      </w:pPr>
    </w:p>
    <w:p w:rsidR="00824147" w:rsidRDefault="00824147" w:rsidP="00530CB3">
      <w:pPr>
        <w:pStyle w:val="Prrafodelista"/>
        <w:ind w:left="426"/>
        <w:rPr>
          <w:rFonts w:ascii="Palatino Linotype" w:hAnsi="Palatino Linotype" w:cs="Arial"/>
          <w:sz w:val="24"/>
          <w:szCs w:val="24"/>
        </w:rPr>
      </w:pPr>
    </w:p>
    <w:p w:rsidR="00824147" w:rsidRPr="00CB2E7B" w:rsidRDefault="00824147" w:rsidP="00530CB3">
      <w:pPr>
        <w:pStyle w:val="Prrafodelista"/>
        <w:ind w:left="426"/>
        <w:rPr>
          <w:rFonts w:ascii="Palatino Linotype" w:hAnsi="Palatino Linotype" w:cs="Arial"/>
          <w:sz w:val="24"/>
          <w:szCs w:val="24"/>
        </w:rPr>
      </w:pPr>
    </w:p>
    <w:p w:rsidR="00D35091" w:rsidRDefault="00824147" w:rsidP="006E53B9">
      <w:pPr>
        <w:pStyle w:val="Ttulo1"/>
        <w:numPr>
          <w:ilvl w:val="0"/>
          <w:numId w:val="43"/>
        </w:numPr>
        <w:ind w:left="1134" w:hanging="708"/>
        <w:rPr>
          <w:rFonts w:cs="Arial"/>
          <w:szCs w:val="24"/>
        </w:rPr>
      </w:pPr>
      <w:bookmarkStart w:id="4" w:name="_Toc273076"/>
      <w:r>
        <w:rPr>
          <w:szCs w:val="24"/>
        </w:rPr>
        <w:t>De la clasificación de la información.</w:t>
      </w:r>
      <w:bookmarkEnd w:id="4"/>
    </w:p>
    <w:p w:rsidR="0080047C" w:rsidRPr="0080047C" w:rsidRDefault="0080047C" w:rsidP="0080047C"/>
    <w:p w:rsidR="004058E2" w:rsidRPr="004058E2" w:rsidRDefault="004058E2" w:rsidP="004058E2">
      <w:pPr>
        <w:pStyle w:val="Prrafodelista"/>
        <w:rPr>
          <w:rFonts w:ascii="Palatino Linotype" w:hAnsi="Palatino Linotype" w:cs="Arial"/>
          <w:sz w:val="24"/>
          <w:szCs w:val="24"/>
        </w:rPr>
      </w:pPr>
    </w:p>
    <w:p w:rsidR="00824147" w:rsidRDefault="003C1450" w:rsidP="00824147">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El segundo aspecto sobre el cual versa el presente voto particular es en razón de la </w:t>
      </w:r>
      <w:r w:rsidR="00824147">
        <w:rPr>
          <w:rFonts w:ascii="Palatino Linotype" w:hAnsi="Palatino Linotype" w:cs="Arial"/>
          <w:sz w:val="24"/>
          <w:szCs w:val="24"/>
        </w:rPr>
        <w:t>clasificación de la información como reservada.</w:t>
      </w:r>
    </w:p>
    <w:p w:rsidR="003C1450" w:rsidRPr="003C1450" w:rsidRDefault="00824147" w:rsidP="00824147">
      <w:pPr>
        <w:pStyle w:val="Prrafodelista"/>
        <w:spacing w:before="240" w:after="240" w:line="360" w:lineRule="auto"/>
        <w:ind w:left="426"/>
        <w:jc w:val="both"/>
        <w:rPr>
          <w:rFonts w:ascii="Palatino Linotype" w:hAnsi="Palatino Linotype" w:cs="Arial"/>
          <w:sz w:val="24"/>
          <w:szCs w:val="24"/>
        </w:rPr>
      </w:pPr>
      <w:r w:rsidRPr="003C1450">
        <w:rPr>
          <w:rFonts w:ascii="Palatino Linotype" w:hAnsi="Palatino Linotype" w:cs="Arial"/>
          <w:sz w:val="24"/>
          <w:szCs w:val="24"/>
        </w:rPr>
        <w:t xml:space="preserve"> </w:t>
      </w:r>
    </w:p>
    <w:p w:rsidR="00824147" w:rsidRDefault="00824147" w:rsidP="000A3711">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El Comisionado Ponente en el análisis y estudio del asunto puntualiza que para el caso de que los expedientes contengan las diligencias no hayan quedado firmes el Comité de Transparencia deberá elaborar y poner a disposición del particular, el acuerdo de clasificación correspondiente en términos del artículo 49 fracción VIII. Situación que no comparto del todo, en razón de que prever la supuesta clasificación es obligación de las autoridades, más no de este Órgano Garante, aunado a que existió una omisión de atender y dar trámite a los requerimientos planteados por el particular.</w:t>
      </w:r>
    </w:p>
    <w:p w:rsidR="00824147" w:rsidRPr="00824147" w:rsidRDefault="00824147" w:rsidP="00824147">
      <w:pPr>
        <w:pStyle w:val="Prrafodelista"/>
        <w:rPr>
          <w:rFonts w:ascii="Palatino Linotype" w:hAnsi="Palatino Linotype" w:cs="Arial"/>
          <w:sz w:val="24"/>
          <w:szCs w:val="24"/>
        </w:rPr>
      </w:pPr>
    </w:p>
    <w:p w:rsidR="00824147" w:rsidRDefault="00824147" w:rsidP="000A3711">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t xml:space="preserve">Considero que la postura adoptada por el Comisionado Ponente va encaminada a suplir deficiencias atribuibles al Sujeto Obligado </w:t>
      </w:r>
      <w:r w:rsidR="000F5099">
        <w:rPr>
          <w:rFonts w:ascii="Palatino Linotype" w:hAnsi="Palatino Linotype" w:cs="Arial"/>
          <w:sz w:val="24"/>
          <w:szCs w:val="24"/>
        </w:rPr>
        <w:t>aún y cuando éste no cumplió con lo que establece la Ley de Transparencia y Acceso a la Información Pública del Estado de México y Municipios.</w:t>
      </w:r>
    </w:p>
    <w:p w:rsidR="000161B6" w:rsidRPr="000161B6" w:rsidRDefault="000161B6" w:rsidP="000161B6">
      <w:pPr>
        <w:pStyle w:val="Prrafodelista"/>
        <w:rPr>
          <w:rFonts w:ascii="Palatino Linotype" w:hAnsi="Palatino Linotype" w:cs="Arial"/>
          <w:sz w:val="24"/>
          <w:szCs w:val="24"/>
        </w:rPr>
      </w:pPr>
    </w:p>
    <w:p w:rsidR="000161B6" w:rsidRDefault="000161B6" w:rsidP="000A3711">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lastRenderedPageBreak/>
        <w:t>Considero firmemente que podría realizarse una acción como la que tomó el Comisionado Ponente, siempre y cuando exista un indicio de que la información puede actualizar una causal de reserva y esto sucede cuando en respuesta o informe justificado lo manifiestan los Sujetos Obligado, sin embargo, en el presente asunto en particular, no se tiene ni un solo elemento que permite tan solo “presumir” la existencia de información que actualice una causal de reserva. Es por ello que no comparto este apartado de la resolución, y para prueba de ello es necesario resaltar lo siguiente:</w:t>
      </w:r>
    </w:p>
    <w:p w:rsidR="00824147" w:rsidRPr="00824147" w:rsidRDefault="00824147" w:rsidP="00824147">
      <w:pPr>
        <w:pStyle w:val="Prrafodelista"/>
        <w:rPr>
          <w:rFonts w:ascii="Palatino Linotype" w:hAnsi="Palatino Linotype" w:cs="Arial"/>
          <w:sz w:val="24"/>
          <w:szCs w:val="24"/>
        </w:rPr>
      </w:pPr>
    </w:p>
    <w:p w:rsidR="000161B6" w:rsidRPr="0047457F" w:rsidRDefault="000161B6" w:rsidP="000161B6">
      <w:pPr>
        <w:pStyle w:val="Ttulo1"/>
        <w:numPr>
          <w:ilvl w:val="0"/>
          <w:numId w:val="47"/>
        </w:numPr>
        <w:rPr>
          <w:b w:val="0"/>
          <w:szCs w:val="24"/>
        </w:rPr>
      </w:pPr>
      <w:bookmarkStart w:id="5" w:name="_Toc485891455"/>
      <w:bookmarkStart w:id="6" w:name="_Toc273077"/>
      <w:r w:rsidRPr="0047457F">
        <w:rPr>
          <w:szCs w:val="24"/>
        </w:rPr>
        <w:t>De la clasificación de la información.</w:t>
      </w:r>
      <w:bookmarkEnd w:id="5"/>
      <w:bookmarkEnd w:id="6"/>
    </w:p>
    <w:p w:rsidR="000161B6" w:rsidRPr="002021B7" w:rsidRDefault="000161B6" w:rsidP="000161B6">
      <w:pPr>
        <w:pStyle w:val="Prrafodelista"/>
        <w:spacing w:line="360" w:lineRule="auto"/>
        <w:ind w:left="1080"/>
        <w:jc w:val="both"/>
        <w:rPr>
          <w:rFonts w:ascii="Palatino Linotype" w:hAnsi="Palatino Linotype"/>
          <w:b/>
          <w:sz w:val="24"/>
          <w:szCs w:val="24"/>
        </w:rPr>
      </w:pPr>
    </w:p>
    <w:p w:rsidR="000161B6" w:rsidRPr="000161B6" w:rsidRDefault="000161B6" w:rsidP="000161B6">
      <w:pPr>
        <w:pStyle w:val="Prrafodelista"/>
        <w:numPr>
          <w:ilvl w:val="0"/>
          <w:numId w:val="11"/>
        </w:numPr>
        <w:spacing w:line="360" w:lineRule="auto"/>
        <w:ind w:left="426"/>
        <w:jc w:val="both"/>
        <w:rPr>
          <w:rFonts w:ascii="Palatino Linotype" w:hAnsi="Palatino Linotype"/>
          <w:sz w:val="24"/>
          <w:szCs w:val="24"/>
        </w:rPr>
      </w:pPr>
      <w:r w:rsidRPr="000161B6">
        <w:rPr>
          <w:rFonts w:ascii="Palatino Linotype" w:hAnsi="Palatino Linotype"/>
          <w:sz w:val="24"/>
          <w:szCs w:val="24"/>
        </w:rPr>
        <w:t>Mi voto particular se deriva de un hecho de especial importancia: 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021B7">
        <w:rPr>
          <w:rStyle w:val="Refdenotaalpie"/>
          <w:rFonts w:ascii="Palatino Linotype" w:hAnsi="Palatino Linotype"/>
          <w:sz w:val="24"/>
          <w:szCs w:val="24"/>
        </w:rPr>
        <w:footnoteReference w:id="1"/>
      </w:r>
      <w:r w:rsidRPr="000161B6">
        <w:rPr>
          <w:rFonts w:ascii="Palatino Linotype" w:hAnsi="Palatino Linotype"/>
          <w:sz w:val="24"/>
          <w:szCs w:val="24"/>
        </w:rPr>
        <w:t xml:space="preserve"> aunque cualquier límite o </w:t>
      </w:r>
      <w:r w:rsidRPr="000161B6">
        <w:rPr>
          <w:rFonts w:ascii="Palatino Linotype" w:hAnsi="Palatino Linotype"/>
          <w:sz w:val="24"/>
          <w:szCs w:val="24"/>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021B7">
        <w:rPr>
          <w:rStyle w:val="Refdenotaalpie"/>
          <w:rFonts w:ascii="Palatino Linotype" w:hAnsi="Palatino Linotype"/>
          <w:sz w:val="24"/>
          <w:szCs w:val="24"/>
        </w:rPr>
        <w:footnoteReference w:id="2"/>
      </w:r>
      <w:r w:rsidRPr="000161B6">
        <w:rPr>
          <w:rFonts w:ascii="Palatino Linotype" w:hAnsi="Palatino Linotype"/>
          <w:sz w:val="24"/>
          <w:szCs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161B6" w:rsidRPr="002021B7" w:rsidRDefault="000161B6" w:rsidP="000161B6">
      <w:pPr>
        <w:pStyle w:val="Prrafodelista"/>
        <w:spacing w:line="360" w:lineRule="auto"/>
        <w:ind w:left="360"/>
        <w:jc w:val="both"/>
        <w:rPr>
          <w:rFonts w:ascii="Palatino Linotype" w:hAnsi="Palatino Linotype"/>
          <w:sz w:val="24"/>
          <w:szCs w:val="24"/>
        </w:rPr>
      </w:pPr>
      <w:r w:rsidRPr="002021B7">
        <w:rPr>
          <w:rFonts w:ascii="Palatino Linotype" w:hAnsi="Palatino Linotype"/>
          <w:sz w:val="24"/>
          <w:szCs w:val="24"/>
        </w:rPr>
        <w:lastRenderedPageBreak/>
        <w:t xml:space="preserve"> </w:t>
      </w: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t>El grave problema que enfrentamos todos los días, al resolver los recursos de revisión que se presenten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0161B6" w:rsidRPr="002021B7" w:rsidRDefault="000161B6" w:rsidP="000161B6">
      <w:pPr>
        <w:pStyle w:val="Prrafodelista"/>
        <w:spacing w:line="360" w:lineRule="auto"/>
        <w:ind w:left="360"/>
        <w:jc w:val="both"/>
        <w:rPr>
          <w:rFonts w:ascii="Palatino Linotype" w:hAnsi="Palatino Linotype"/>
          <w:sz w:val="24"/>
          <w:szCs w:val="24"/>
        </w:rPr>
      </w:pPr>
    </w:p>
    <w:p w:rsidR="000161B6"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t>Por esa razón, es que en esta ocasión concurro con el presente voto, con la finalidad de presentar una valida clasificación de la información que debe considerar el sujeto obligado para emitir este tipo de acuerdos y que el Órgano Garante debe verificar que se cumplan.</w:t>
      </w:r>
    </w:p>
    <w:p w:rsidR="000161B6" w:rsidRPr="0047457F" w:rsidRDefault="000161B6" w:rsidP="000161B6">
      <w:pPr>
        <w:pStyle w:val="Prrafodelista"/>
        <w:rPr>
          <w:rFonts w:ascii="Palatino Linotype" w:hAnsi="Palatino Linotype"/>
          <w:sz w:val="24"/>
          <w:szCs w:val="24"/>
        </w:rPr>
      </w:pPr>
    </w:p>
    <w:p w:rsidR="000161B6" w:rsidRDefault="000161B6" w:rsidP="000161B6">
      <w:pPr>
        <w:pStyle w:val="Prrafodelista"/>
        <w:spacing w:line="360" w:lineRule="auto"/>
        <w:ind w:left="360"/>
        <w:jc w:val="both"/>
        <w:rPr>
          <w:rFonts w:ascii="Palatino Linotype" w:hAnsi="Palatino Linotype" w:cs="Arial"/>
          <w:b/>
          <w:color w:val="000000" w:themeColor="text1"/>
          <w:sz w:val="24"/>
          <w:szCs w:val="24"/>
        </w:rPr>
      </w:pPr>
      <w:r w:rsidRPr="0047457F">
        <w:rPr>
          <w:rFonts w:ascii="Palatino Linotype" w:hAnsi="Palatino Linotype" w:cs="Arial"/>
          <w:b/>
          <w:color w:val="000000" w:themeColor="text1"/>
          <w:sz w:val="24"/>
          <w:szCs w:val="24"/>
        </w:rPr>
        <w:t>Requisitos previos</w:t>
      </w:r>
    </w:p>
    <w:p w:rsidR="000161B6" w:rsidRPr="0047457F" w:rsidRDefault="000161B6" w:rsidP="000161B6">
      <w:pPr>
        <w:pStyle w:val="Prrafodelista"/>
        <w:spacing w:line="360" w:lineRule="auto"/>
        <w:ind w:left="360"/>
        <w:jc w:val="both"/>
        <w:rPr>
          <w:rFonts w:ascii="Palatino Linotype" w:hAnsi="Palatino Linotype" w:cs="Arial"/>
          <w:b/>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Los </w:t>
      </w:r>
      <w:r w:rsidRPr="002021B7">
        <w:rPr>
          <w:rFonts w:ascii="Palatino Linotype" w:hAnsi="Palatino Linotype"/>
          <w:sz w:val="24"/>
          <w:szCs w:val="24"/>
        </w:rPr>
        <w:t>artículos</w:t>
      </w:r>
      <w:r w:rsidRPr="002021B7">
        <w:rPr>
          <w:rFonts w:ascii="Palatino Linotype" w:hAnsi="Palatino Linotype" w:cs="Arial"/>
          <w:color w:val="000000" w:themeColor="text1"/>
          <w:sz w:val="24"/>
          <w:szCs w:val="24"/>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w:t>
      </w:r>
      <w:r w:rsidRPr="002021B7">
        <w:rPr>
          <w:rFonts w:ascii="Palatino Linotype" w:hAnsi="Palatino Linotype" w:cs="Arial"/>
          <w:color w:val="000000" w:themeColor="text1"/>
          <w:sz w:val="24"/>
          <w:szCs w:val="24"/>
        </w:rPr>
        <w:lastRenderedPageBreak/>
        <w:t>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161B6" w:rsidRDefault="000161B6" w:rsidP="000161B6">
      <w:pPr>
        <w:pStyle w:val="Prrafodelista"/>
        <w:spacing w:line="360" w:lineRule="auto"/>
        <w:ind w:left="1080"/>
        <w:jc w:val="both"/>
        <w:rPr>
          <w:rFonts w:ascii="Palatino Linotype" w:hAnsi="Palatino Linotype"/>
          <w:b/>
          <w:sz w:val="24"/>
          <w:szCs w:val="24"/>
        </w:rPr>
      </w:pPr>
    </w:p>
    <w:p w:rsidR="000161B6" w:rsidRDefault="000161B6" w:rsidP="000161B6">
      <w:pPr>
        <w:pStyle w:val="Prrafodelista"/>
        <w:spacing w:line="360" w:lineRule="auto"/>
        <w:ind w:left="567"/>
        <w:jc w:val="both"/>
        <w:rPr>
          <w:rFonts w:ascii="Palatino Linotype" w:hAnsi="Palatino Linotype"/>
          <w:b/>
          <w:sz w:val="24"/>
        </w:rPr>
      </w:pPr>
      <w:r w:rsidRPr="0047457F">
        <w:rPr>
          <w:rFonts w:ascii="Palatino Linotype" w:hAnsi="Palatino Linotype"/>
          <w:b/>
          <w:sz w:val="24"/>
        </w:rPr>
        <w:t>Supuestos de clasificación</w:t>
      </w:r>
    </w:p>
    <w:p w:rsidR="000161B6" w:rsidRDefault="000161B6" w:rsidP="000161B6">
      <w:pPr>
        <w:pStyle w:val="Prrafodelista"/>
        <w:spacing w:line="360" w:lineRule="auto"/>
        <w:ind w:left="567"/>
        <w:jc w:val="both"/>
        <w:rPr>
          <w:rFonts w:ascii="Palatino Linotype" w:hAnsi="Palatino Linotype"/>
          <w:b/>
          <w:sz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lastRenderedPageBreak/>
        <w:t>Las disposiciones constitucionales y legales en la materia establecen los dos supuestos generales para clasificar la información: por reserva y por confidencialidad.</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0161B6" w:rsidRPr="002021B7" w:rsidTr="000A4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b w:val="0"/>
                <w:sz w:val="24"/>
                <w:szCs w:val="24"/>
              </w:rPr>
            </w:pPr>
            <w:r w:rsidRPr="002021B7">
              <w:rPr>
                <w:rFonts w:ascii="Palatino Linotype" w:hAnsi="Palatino Linotype" w:cs="Gill Sans,Bold"/>
                <w:b w:val="0"/>
                <w:sz w:val="24"/>
                <w:szCs w:val="24"/>
              </w:rPr>
              <w:t>LEY ESTATAL</w:t>
            </w:r>
          </w:p>
        </w:tc>
        <w:tc>
          <w:tcPr>
            <w:tcW w:w="4089" w:type="dxa"/>
          </w:tcPr>
          <w:p w:rsidR="000161B6" w:rsidRPr="002021B7" w:rsidRDefault="000161B6" w:rsidP="000A481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24"/>
                <w:szCs w:val="24"/>
              </w:rPr>
            </w:pPr>
            <w:r w:rsidRPr="002021B7">
              <w:rPr>
                <w:rFonts w:ascii="Palatino Linotype" w:hAnsi="Palatino Linotype"/>
                <w:b w:val="0"/>
                <w:sz w:val="24"/>
                <w:szCs w:val="24"/>
              </w:rPr>
              <w:t>LEY GENERAL</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 Comprometa la seguridad pública y cuente con un propósito genuino y un efecto demostrable;</w:t>
            </w:r>
          </w:p>
          <w:p w:rsidR="000161B6" w:rsidRPr="002021B7" w:rsidRDefault="000161B6" w:rsidP="000A4818">
            <w:pPr>
              <w:spacing w:line="360" w:lineRule="auto"/>
              <w:jc w:val="both"/>
              <w:rPr>
                <w:rFonts w:ascii="Palatino Linotype" w:hAnsi="Palatino Linotype"/>
                <w:b w:val="0"/>
                <w:sz w:val="24"/>
                <w:szCs w:val="24"/>
              </w:rPr>
            </w:pP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w:t>
            </w:r>
            <w:r w:rsidRPr="002021B7">
              <w:rPr>
                <w:rFonts w:ascii="Palatino Linotype" w:hAnsi="Palatino Linotype"/>
                <w:sz w:val="24"/>
                <w:szCs w:val="24"/>
                <w:lang w:val="es-ES"/>
              </w:rPr>
              <w:tab/>
              <w:t>Comprometa la seguridad nacional, la seguridad pública o la defensa nacional y cuente con un propósito genuino y un efecto demostrable;</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II. Pueda menoscabar la conducción de las negociaciones y relaciones internacionales;</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II.</w:t>
            </w:r>
            <w:r w:rsidRPr="002021B7">
              <w:rPr>
                <w:rFonts w:ascii="Palatino Linotype" w:hAnsi="Palatino Linotype"/>
                <w:sz w:val="24"/>
                <w:szCs w:val="24"/>
                <w:lang w:val="es-ES"/>
              </w:rPr>
              <w:tab/>
              <w:t>Pueda menoscabar la conducción de las negociaciones y relaciones internacionales;</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III. Se entregue a la Entidad expresamente con ese carácter o el de confidencialidad por otro u otros sujetos de derecho internacional, excepto cuando se </w:t>
            </w:r>
            <w:r w:rsidRPr="002021B7">
              <w:rPr>
                <w:rFonts w:ascii="Palatino Linotype" w:hAnsi="Palatino Linotype" w:cs="Arial"/>
                <w:b w:val="0"/>
                <w:sz w:val="24"/>
                <w:szCs w:val="24"/>
              </w:rPr>
              <w:lastRenderedPageBreak/>
              <w:t>trate de violaciones graves de derechos humanos o delitos de lesa humanidad de conformidad con el derecho internacional;</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III.</w:t>
            </w:r>
            <w:r w:rsidRPr="002021B7">
              <w:rPr>
                <w:rFonts w:ascii="Palatino Linotype" w:hAnsi="Palatino Linotype"/>
                <w:sz w:val="24"/>
                <w:szCs w:val="24"/>
                <w:lang w:val="es-ES"/>
              </w:rPr>
              <w:tab/>
              <w:t xml:space="preserve">Se entregue al Estado mexicano expresamente con ese carácter o el de confidencial por otro u otros sujetos de derecho internacional, excepto cuando se </w:t>
            </w:r>
            <w:r w:rsidRPr="002021B7">
              <w:rPr>
                <w:rFonts w:ascii="Palatino Linotype" w:hAnsi="Palatino Linotype"/>
                <w:sz w:val="24"/>
                <w:szCs w:val="24"/>
                <w:lang w:val="es-ES"/>
              </w:rPr>
              <w:lastRenderedPageBreak/>
              <w:t>trate de violaciones graves de derechos humanos o delitos de lesa humanidad de conformidad con el derecho internacional;</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IV.</w:t>
            </w:r>
            <w:r w:rsidRPr="002021B7">
              <w:rPr>
                <w:rFonts w:ascii="Palatino Linotype" w:hAnsi="Palatino Linotype"/>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lastRenderedPageBreak/>
              <w:t>IV. Ponga en riesgo la vida, la seguridad o la salud de una persona física;</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V.</w:t>
            </w:r>
            <w:r w:rsidRPr="002021B7">
              <w:rPr>
                <w:rFonts w:ascii="Palatino Linotype" w:hAnsi="Palatino Linotype"/>
                <w:sz w:val="24"/>
                <w:szCs w:val="24"/>
                <w:lang w:val="es-ES"/>
              </w:rPr>
              <w:tab/>
              <w:t>Pueda poner en riesgo la vida, seguridad o salud de una persona física;</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V. Aquella cuya divulgación obstruya o pueda causar un serio perjuicio a:</w:t>
            </w: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1. Las actividades de fiscalización, verificación, inspección, comprobación y auditoría sobre el cumplimiento de las Leyes; o</w:t>
            </w: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2. La recaudación de las contribuciones.</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VI.</w:t>
            </w:r>
            <w:r w:rsidRPr="002021B7">
              <w:rPr>
                <w:rFonts w:ascii="Palatino Linotype" w:hAnsi="Palatino Linotype"/>
                <w:sz w:val="24"/>
                <w:szCs w:val="24"/>
                <w:lang w:val="es-ES"/>
              </w:rPr>
              <w:tab/>
              <w:t>Obstruya las actividades de verificación, inspección y auditoría relativas al cumplimiento de las leyes o afecte la recaudación de contribuciones;</w:t>
            </w:r>
          </w:p>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p>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VI. Pueda causar daño u obstruya la prevención o persecución de los delitos, altere el proceso de investigación de las carpetas de investigación, afecte o vulnere la conducción o los derechos del debido proceso en </w:t>
            </w:r>
            <w:r w:rsidRPr="002021B7">
              <w:rPr>
                <w:rFonts w:ascii="Palatino Linotype" w:hAnsi="Palatino Linotype" w:cs="Arial"/>
                <w:b w:val="0"/>
                <w:sz w:val="24"/>
                <w:szCs w:val="24"/>
              </w:rPr>
              <w:lastRenderedPageBreak/>
              <w:t>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VII.</w:t>
            </w:r>
            <w:r w:rsidRPr="002021B7">
              <w:rPr>
                <w:rFonts w:ascii="Palatino Linotype" w:hAnsi="Palatino Linotype"/>
                <w:sz w:val="24"/>
                <w:szCs w:val="24"/>
                <w:lang w:val="es-ES"/>
              </w:rPr>
              <w:tab/>
              <w:t>Obstruya la prevención o persecución de los delitos;</w:t>
            </w:r>
          </w:p>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p>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VIII.</w:t>
            </w:r>
            <w:r w:rsidRPr="002021B7">
              <w:rPr>
                <w:rFonts w:ascii="Palatino Linotype" w:hAnsi="Palatino Linotype"/>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IX.</w:t>
            </w:r>
            <w:r w:rsidRPr="002021B7">
              <w:rPr>
                <w:rFonts w:ascii="Palatino Linotype" w:hAnsi="Palatino Linotype"/>
                <w:sz w:val="24"/>
                <w:szCs w:val="24"/>
                <w:lang w:val="es-ES"/>
              </w:rPr>
              <w:tab/>
              <w:t>Obstruya los procedimientos para fincar responsabilidad a los Servidores Públicos, en tanto no se haya dictado la resolución administrativa;</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bCs w:val="0"/>
                <w:sz w:val="24"/>
                <w:szCs w:val="24"/>
              </w:rPr>
            </w:pP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w:t>
            </w:r>
            <w:r w:rsidRPr="002021B7">
              <w:rPr>
                <w:rFonts w:ascii="Palatino Linotype" w:hAnsi="Palatino Linotype"/>
                <w:sz w:val="24"/>
                <w:szCs w:val="24"/>
                <w:lang w:val="es-ES"/>
              </w:rPr>
              <w:tab/>
              <w:t>Afecte los derechos del debido proceso;</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bCs w:val="0"/>
                <w:sz w:val="24"/>
                <w:szCs w:val="24"/>
              </w:rPr>
            </w:pPr>
            <w:r w:rsidRPr="002021B7">
              <w:rPr>
                <w:rFonts w:ascii="Palatino Linotype" w:hAnsi="Palatino Linotype" w:cs="Arial"/>
                <w:b w:val="0"/>
                <w:sz w:val="24"/>
                <w:szCs w:val="24"/>
              </w:rPr>
              <w:t>VIII. Vulnere la conducción de los expedientes judiciales o de los procedimientos administrativos seguidos en forma de juicio, en tanto no hayan quedado firmes;</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XI.</w:t>
            </w:r>
            <w:r w:rsidRPr="002021B7">
              <w:rPr>
                <w:rFonts w:ascii="Palatino Linotype" w:hAnsi="Palatino Linotype"/>
                <w:sz w:val="24"/>
                <w:szCs w:val="24"/>
                <w:lang w:val="es-ES"/>
              </w:rPr>
              <w:tab/>
              <w:t>Vulnere la conducción de los Expedientes judiciales o de los procedimientos administrativos seguidos en forma de juicio, en tanto no hayan causado estado;</w:t>
            </w: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IX. Se encuentre contenida dentro de las investigaciones de hechos que la Ley señale como delitos y se tramiten ante el Ministerio Público;</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t>XII.</w:t>
            </w:r>
            <w:r w:rsidRPr="002021B7">
              <w:rPr>
                <w:rFonts w:ascii="Palatino Linotype" w:hAnsi="Palatino Linotype"/>
                <w:sz w:val="24"/>
                <w:szCs w:val="24"/>
                <w:lang w:val="es-ES"/>
              </w:rPr>
              <w:tab/>
              <w:t>Se encuentre contenida dentro de las investigaciones de hechos que la ley señale como delitos y se tramiten ante el Ministerio Público, y</w:t>
            </w:r>
          </w:p>
        </w:tc>
      </w:tr>
      <w:tr w:rsidR="000161B6" w:rsidRPr="002021B7" w:rsidTr="000A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 xml:space="preserve">X. El daño que pueda producirse con la publicación de la información sea mayor que el interés público de conocer la información de referencia, </w:t>
            </w:r>
            <w:r w:rsidRPr="002021B7">
              <w:rPr>
                <w:rFonts w:ascii="Palatino Linotype" w:hAnsi="Palatino Linotype" w:cs="Arial"/>
                <w:b w:val="0"/>
                <w:sz w:val="24"/>
                <w:szCs w:val="24"/>
              </w:rPr>
              <w:lastRenderedPageBreak/>
              <w:t>siempre que esté directamente relacionado con procesos o procedimientos administrativos o judiciales que no hayan quedado firmes;</w:t>
            </w:r>
          </w:p>
          <w:p w:rsidR="000161B6" w:rsidRPr="002021B7" w:rsidRDefault="000161B6" w:rsidP="000A4818">
            <w:pPr>
              <w:autoSpaceDE w:val="0"/>
              <w:autoSpaceDN w:val="0"/>
              <w:adjustRightInd w:val="0"/>
              <w:spacing w:line="360" w:lineRule="auto"/>
              <w:jc w:val="both"/>
              <w:rPr>
                <w:rFonts w:ascii="Palatino Linotype" w:hAnsi="Palatino Linotype" w:cs="Arial"/>
                <w:b w:val="0"/>
                <w:sz w:val="24"/>
                <w:szCs w:val="24"/>
              </w:rPr>
            </w:pPr>
            <w:r w:rsidRPr="002021B7">
              <w:rPr>
                <w:rFonts w:ascii="Palatino Linotype" w:hAnsi="Palatino Linotype" w:cs="Arial"/>
                <w:b w:val="0"/>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rsidR="000161B6" w:rsidRPr="002021B7" w:rsidRDefault="000161B6" w:rsidP="000A481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p>
        </w:tc>
      </w:tr>
      <w:tr w:rsidR="000161B6" w:rsidRPr="002021B7" w:rsidTr="000A4818">
        <w:tc>
          <w:tcPr>
            <w:cnfStyle w:val="001000000000" w:firstRow="0" w:lastRow="0" w:firstColumn="1" w:lastColumn="0" w:oddVBand="0" w:evenVBand="0" w:oddHBand="0" w:evenHBand="0" w:firstRowFirstColumn="0" w:firstRowLastColumn="0" w:lastRowFirstColumn="0" w:lastRowLastColumn="0"/>
            <w:tcW w:w="3726" w:type="dxa"/>
          </w:tcPr>
          <w:p w:rsidR="000161B6" w:rsidRPr="002021B7" w:rsidRDefault="000161B6" w:rsidP="000A4818">
            <w:pPr>
              <w:spacing w:line="360" w:lineRule="auto"/>
              <w:jc w:val="both"/>
              <w:rPr>
                <w:rFonts w:ascii="Palatino Linotype" w:hAnsi="Palatino Linotype"/>
                <w:b w:val="0"/>
                <w:sz w:val="24"/>
                <w:szCs w:val="24"/>
              </w:rPr>
            </w:pPr>
            <w:r w:rsidRPr="002021B7">
              <w:rPr>
                <w:rFonts w:ascii="Palatino Linotype" w:hAnsi="Palatino Linotype" w:cs="Arial"/>
                <w:b w:val="0"/>
                <w:sz w:val="24"/>
                <w:szCs w:val="24"/>
              </w:rPr>
              <w:lastRenderedPageBreak/>
              <w:t xml:space="preserve">XI. Las que por disposición expresa de una ley tengan tal carácter, siempre que sean acordes con las bases, principios y disposiciones establecidos en esta Ley y no la contravengan; así </w:t>
            </w:r>
            <w:r w:rsidRPr="002021B7">
              <w:rPr>
                <w:rFonts w:ascii="Palatino Linotype" w:hAnsi="Palatino Linotype" w:cs="Arial"/>
                <w:b w:val="0"/>
                <w:sz w:val="24"/>
                <w:szCs w:val="24"/>
              </w:rPr>
              <w:lastRenderedPageBreak/>
              <w:t>como las previstas en tratados internacionales.</w:t>
            </w:r>
          </w:p>
        </w:tc>
        <w:tc>
          <w:tcPr>
            <w:tcW w:w="4089" w:type="dxa"/>
          </w:tcPr>
          <w:p w:rsidR="000161B6" w:rsidRPr="002021B7" w:rsidRDefault="000161B6" w:rsidP="000A481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ES"/>
              </w:rPr>
            </w:pPr>
            <w:r w:rsidRPr="002021B7">
              <w:rPr>
                <w:rFonts w:ascii="Palatino Linotype" w:hAnsi="Palatino Linotype"/>
                <w:sz w:val="24"/>
                <w:szCs w:val="24"/>
                <w:lang w:val="es-ES"/>
              </w:rPr>
              <w:lastRenderedPageBreak/>
              <w:t>XIII.</w:t>
            </w:r>
            <w:r w:rsidRPr="002021B7">
              <w:rPr>
                <w:rFonts w:ascii="Palatino Linotype" w:hAnsi="Palatino Linotype"/>
                <w:sz w:val="24"/>
                <w:szCs w:val="24"/>
                <w:lang w:val="es-ES"/>
              </w:rPr>
              <w:tab/>
              <w:t xml:space="preserve">Las que por disposición expresa de una ley tengan tal carácter, siempre que sean acordes con las bases, principios y disposiciones establecidos en esta Ley y no la contravengan; así como </w:t>
            </w:r>
            <w:r w:rsidRPr="002021B7">
              <w:rPr>
                <w:rFonts w:ascii="Palatino Linotype" w:hAnsi="Palatino Linotype"/>
                <w:sz w:val="24"/>
                <w:szCs w:val="24"/>
                <w:lang w:val="es-ES"/>
              </w:rPr>
              <w:lastRenderedPageBreak/>
              <w:t>las previstas en tratados internacionales.</w:t>
            </w:r>
          </w:p>
        </w:tc>
      </w:tr>
    </w:tbl>
    <w:p w:rsidR="000161B6" w:rsidRPr="002021B7" w:rsidRDefault="000161B6" w:rsidP="000161B6">
      <w:pPr>
        <w:spacing w:line="360" w:lineRule="auto"/>
        <w:jc w:val="both"/>
        <w:rPr>
          <w:rFonts w:ascii="Palatino Linotype" w:hAnsi="Palatino Linotype" w:cs="Arial"/>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Como consecuencia de lo anterior, el sujeto obligado debe identificar claramente el tipo de información y hacer un juicio de subsunción o encaje</w:t>
      </w:r>
      <w:r w:rsidRPr="002021B7">
        <w:rPr>
          <w:rStyle w:val="Refdenotaalpie"/>
          <w:rFonts w:ascii="Palatino Linotype" w:hAnsi="Palatino Linotype" w:cs="Arial"/>
          <w:color w:val="000000" w:themeColor="text1"/>
          <w:sz w:val="24"/>
          <w:szCs w:val="24"/>
        </w:rPr>
        <w:footnoteReference w:id="3"/>
      </w:r>
      <w:r w:rsidRPr="002021B7">
        <w:rPr>
          <w:rFonts w:ascii="Palatino Linotype" w:hAnsi="Palatino Linotype" w:cs="Arial"/>
          <w:color w:val="000000" w:themeColor="text1"/>
          <w:sz w:val="24"/>
          <w:szCs w:val="24"/>
        </w:rPr>
        <w:t xml:space="preserve"> para acreditar que el supuesto de hecho corresponde estrictamente con la hipótesis jurídica. </w:t>
      </w:r>
      <w:r w:rsidRPr="002021B7">
        <w:rPr>
          <w:rFonts w:ascii="Palatino Linotype" w:hAnsi="Palatino Linotype" w:cs="Arial"/>
          <w:color w:val="000000" w:themeColor="text1"/>
          <w:sz w:val="24"/>
          <w:szCs w:val="24"/>
        </w:rPr>
        <w:lastRenderedPageBreak/>
        <w:t>Esto también lo debe de realizar el servidor público habilitado y el titular del área que administra la información.</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0161B6" w:rsidRDefault="000161B6" w:rsidP="000161B6">
      <w:pPr>
        <w:pStyle w:val="Prrafodelista"/>
        <w:spacing w:line="360" w:lineRule="auto"/>
        <w:ind w:left="1080"/>
        <w:jc w:val="both"/>
        <w:rPr>
          <w:rFonts w:ascii="Palatino Linotype" w:hAnsi="Palatino Linotype"/>
          <w:b/>
          <w:sz w:val="24"/>
          <w:szCs w:val="24"/>
        </w:rPr>
      </w:pPr>
    </w:p>
    <w:p w:rsidR="000161B6" w:rsidRDefault="000161B6" w:rsidP="000161B6">
      <w:pPr>
        <w:pStyle w:val="Prrafodelista"/>
        <w:spacing w:line="360" w:lineRule="auto"/>
        <w:ind w:left="567"/>
        <w:jc w:val="both"/>
        <w:rPr>
          <w:rFonts w:ascii="Palatino Linotype" w:hAnsi="Palatino Linotype"/>
          <w:b/>
          <w:sz w:val="24"/>
          <w:szCs w:val="24"/>
        </w:rPr>
      </w:pPr>
      <w:r w:rsidRPr="0047457F">
        <w:rPr>
          <w:rFonts w:ascii="Palatino Linotype" w:hAnsi="Palatino Linotype"/>
          <w:b/>
          <w:sz w:val="24"/>
          <w:szCs w:val="24"/>
        </w:rPr>
        <w:t>Excepciones a los supuestos de clasificación de la información como reservada</w:t>
      </w:r>
    </w:p>
    <w:p w:rsidR="000161B6" w:rsidRDefault="000161B6" w:rsidP="000161B6">
      <w:pPr>
        <w:pStyle w:val="NormalWeb"/>
        <w:numPr>
          <w:ilvl w:val="0"/>
          <w:numId w:val="11"/>
        </w:numPr>
        <w:spacing w:line="360" w:lineRule="auto"/>
        <w:ind w:left="426"/>
        <w:jc w:val="both"/>
        <w:rPr>
          <w:rFonts w:ascii="Palatino Linotype" w:hAnsi="Palatino Linotype"/>
        </w:rPr>
      </w:pPr>
      <w:r w:rsidRPr="002021B7">
        <w:rPr>
          <w:rFonts w:ascii="Palatino Linotype" w:hAnsi="Palatino Linotype"/>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2021B7">
        <w:rPr>
          <w:rFonts w:ascii="Palatino Linotype" w:hAnsi="Palatino Linotype"/>
        </w:rPr>
        <w:t>lessa</w:t>
      </w:r>
      <w:proofErr w:type="spellEnd"/>
      <w:r w:rsidRPr="002021B7">
        <w:rPr>
          <w:rFonts w:ascii="Palatino Linotype" w:hAnsi="Palatino Linotype"/>
        </w:rPr>
        <w:t xml:space="preserve">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w:t>
      </w:r>
      <w:r w:rsidRPr="002021B7">
        <w:rPr>
          <w:rFonts w:ascii="Palatino Linotype" w:hAnsi="Palatino Linotype"/>
        </w:rPr>
        <w:lastRenderedPageBreak/>
        <w:t>procuración y administración de justicia. De ser el caso que la información que se pretende reservar corresponde a cualquiera de estos supuestos, no es posible clasificarla como reservada.</w:t>
      </w:r>
    </w:p>
    <w:p w:rsidR="000161B6" w:rsidRPr="002021B7" w:rsidRDefault="000161B6" w:rsidP="000161B6">
      <w:pPr>
        <w:pStyle w:val="NormalWeb"/>
        <w:spacing w:line="360" w:lineRule="auto"/>
        <w:ind w:left="567"/>
        <w:jc w:val="both"/>
        <w:rPr>
          <w:rFonts w:ascii="Palatino Linotype" w:hAnsi="Palatino Linotype"/>
        </w:rPr>
      </w:pPr>
    </w:p>
    <w:p w:rsidR="000161B6" w:rsidRPr="0047457F" w:rsidRDefault="000161B6" w:rsidP="000161B6">
      <w:pPr>
        <w:pStyle w:val="Ttulo1"/>
        <w:numPr>
          <w:ilvl w:val="0"/>
          <w:numId w:val="47"/>
        </w:numPr>
        <w:ind w:left="0" w:firstLine="0"/>
        <w:rPr>
          <w:b w:val="0"/>
        </w:rPr>
      </w:pPr>
      <w:bookmarkStart w:id="7" w:name="_Toc485891456"/>
      <w:bookmarkStart w:id="8" w:name="_Toc273078"/>
      <w:r w:rsidRPr="0047457F">
        <w:t>La intervención del Comité de Transparencia.</w:t>
      </w:r>
      <w:bookmarkEnd w:id="7"/>
      <w:bookmarkEnd w:id="8"/>
    </w:p>
    <w:p w:rsidR="000161B6" w:rsidRPr="0047457F" w:rsidRDefault="000161B6" w:rsidP="000161B6">
      <w:pPr>
        <w:pStyle w:val="Prrafodelista"/>
        <w:spacing w:line="360" w:lineRule="auto"/>
        <w:ind w:left="567"/>
        <w:jc w:val="both"/>
        <w:rPr>
          <w:rFonts w:ascii="Palatino Linotype" w:hAnsi="Palatino Linotype" w:cs="Arial"/>
          <w:b/>
          <w:color w:val="000000" w:themeColor="text1"/>
          <w:sz w:val="24"/>
          <w:szCs w:val="24"/>
        </w:rPr>
      </w:pPr>
    </w:p>
    <w:p w:rsidR="000161B6" w:rsidRDefault="000161B6" w:rsidP="000161B6">
      <w:pPr>
        <w:pStyle w:val="Prrafodelista"/>
        <w:spacing w:line="360" w:lineRule="auto"/>
        <w:ind w:left="567"/>
        <w:jc w:val="both"/>
        <w:rPr>
          <w:rFonts w:ascii="Palatino Linotype" w:hAnsi="Palatino Linotype" w:cs="Arial"/>
          <w:b/>
          <w:color w:val="000000" w:themeColor="text1"/>
          <w:sz w:val="24"/>
          <w:szCs w:val="24"/>
        </w:rPr>
      </w:pPr>
      <w:r w:rsidRPr="0047457F">
        <w:rPr>
          <w:rFonts w:ascii="Palatino Linotype" w:hAnsi="Palatino Linotype" w:cs="Arial"/>
          <w:b/>
          <w:color w:val="000000" w:themeColor="text1"/>
          <w:sz w:val="24"/>
          <w:szCs w:val="24"/>
        </w:rPr>
        <w:t>Formalidades para emitir el acuerdo de clasificación.</w:t>
      </w:r>
    </w:p>
    <w:p w:rsidR="000161B6" w:rsidRPr="0047457F" w:rsidRDefault="000161B6" w:rsidP="000161B6">
      <w:pPr>
        <w:pStyle w:val="Prrafodelista"/>
        <w:spacing w:line="360" w:lineRule="auto"/>
        <w:ind w:left="567"/>
        <w:jc w:val="both"/>
        <w:rPr>
          <w:rFonts w:ascii="Palatino Linotype" w:hAnsi="Palatino Linotype" w:cs="Arial"/>
          <w:b/>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eastAsia="Times New Roman" w:hAnsi="Palatino Linotype" w:cs="Times New Roman"/>
          <w:sz w:val="24"/>
          <w:szCs w:val="24"/>
          <w:lang w:val="es-ES_tradnl" w:eastAsia="es-ES_tradnl"/>
        </w:rPr>
      </w:pPr>
      <w:r w:rsidRPr="002021B7">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2021B7">
        <w:rPr>
          <w:rFonts w:ascii="Palatino Linotype" w:hAnsi="Palatino Linotype"/>
          <w:sz w:val="24"/>
          <w:szCs w:val="24"/>
        </w:rPr>
        <w:t xml:space="preserve">la fracción III del numeral Segundo de los </w:t>
      </w:r>
      <w:r w:rsidRPr="002021B7">
        <w:rPr>
          <w:rFonts w:ascii="Palatino Linotype" w:hAnsi="Palatino Linotype" w:cs="Arial"/>
          <w:color w:val="000000" w:themeColor="text1"/>
          <w:sz w:val="24"/>
          <w:szCs w:val="24"/>
        </w:rPr>
        <w:t>Lineamientos generales en materia de clasificación y desclasificación de la información, así como para la elaboración de versiones públicas, en adelante los Lineamientos Generales,</w:t>
      </w:r>
      <w:r w:rsidRPr="002021B7">
        <w:rPr>
          <w:rFonts w:ascii="Palatino Linotype" w:hAnsi="Palatino Linotype"/>
          <w:sz w:val="24"/>
          <w:szCs w:val="24"/>
        </w:rPr>
        <w:t xml:space="preserve"> </w:t>
      </w:r>
      <w:r w:rsidRPr="002021B7">
        <w:rPr>
          <w:rFonts w:ascii="Palatino Linotype" w:hAnsi="Palatino Linotype" w:cs="Arial"/>
          <w:color w:val="000000" w:themeColor="text1"/>
          <w:sz w:val="24"/>
          <w:szCs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0161B6" w:rsidRPr="002021B7" w:rsidRDefault="000161B6" w:rsidP="000161B6">
      <w:pPr>
        <w:pStyle w:val="Prrafodelista"/>
        <w:spacing w:line="360" w:lineRule="auto"/>
        <w:ind w:left="426"/>
        <w:jc w:val="both"/>
        <w:rPr>
          <w:rFonts w:ascii="Palatino Linotype" w:hAnsi="Palatino Linotype" w:cs="Arial"/>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2021B7">
        <w:rPr>
          <w:rFonts w:ascii="Palatino Linotype" w:hAnsi="Palatino Linotype" w:cs="Arial"/>
          <w:color w:val="000000" w:themeColor="text1"/>
          <w:sz w:val="24"/>
          <w:szCs w:val="24"/>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161B6" w:rsidRPr="002021B7" w:rsidRDefault="000161B6" w:rsidP="000161B6">
      <w:pPr>
        <w:spacing w:line="360" w:lineRule="auto"/>
        <w:ind w:left="426"/>
        <w:jc w:val="both"/>
        <w:rPr>
          <w:rFonts w:ascii="Palatino Linotype" w:hAnsi="Palatino Linotype"/>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161B6" w:rsidRDefault="000161B6" w:rsidP="000161B6">
      <w:pPr>
        <w:spacing w:line="360" w:lineRule="auto"/>
        <w:jc w:val="both"/>
        <w:rPr>
          <w:rFonts w:ascii="Palatino Linotype" w:hAnsi="Palatino Linotype"/>
          <w:sz w:val="24"/>
          <w:szCs w:val="24"/>
        </w:rPr>
      </w:pPr>
    </w:p>
    <w:p w:rsidR="000161B6" w:rsidRDefault="000161B6" w:rsidP="000161B6">
      <w:pPr>
        <w:pStyle w:val="Prrafodelista"/>
        <w:spacing w:line="360" w:lineRule="auto"/>
        <w:ind w:left="360"/>
        <w:jc w:val="both"/>
        <w:rPr>
          <w:rFonts w:ascii="Palatino Linotype" w:hAnsi="Palatino Linotype" w:cs="Arial"/>
          <w:b/>
          <w:color w:val="000000" w:themeColor="text1"/>
          <w:sz w:val="24"/>
          <w:szCs w:val="24"/>
        </w:rPr>
      </w:pPr>
      <w:r w:rsidRPr="0047457F">
        <w:rPr>
          <w:rFonts w:ascii="Palatino Linotype" w:hAnsi="Palatino Linotype" w:cs="Arial"/>
          <w:b/>
          <w:color w:val="000000" w:themeColor="text1"/>
          <w:sz w:val="24"/>
          <w:szCs w:val="24"/>
        </w:rPr>
        <w:t>Requisitos de fondo del acuerdo de clasificación</w:t>
      </w:r>
    </w:p>
    <w:p w:rsidR="000161B6" w:rsidRPr="0047457F" w:rsidRDefault="000161B6" w:rsidP="000161B6">
      <w:pPr>
        <w:pStyle w:val="Prrafodelista"/>
        <w:spacing w:line="360" w:lineRule="auto"/>
        <w:ind w:left="360"/>
        <w:jc w:val="both"/>
        <w:rPr>
          <w:rFonts w:ascii="Palatino Linotype" w:hAnsi="Palatino Linotype" w:cs="Arial"/>
          <w:b/>
          <w:color w:val="000000" w:themeColor="text1"/>
          <w:sz w:val="24"/>
          <w:szCs w:val="24"/>
        </w:rPr>
      </w:pPr>
    </w:p>
    <w:p w:rsidR="000161B6" w:rsidRPr="002021B7" w:rsidRDefault="000161B6" w:rsidP="000161B6">
      <w:pPr>
        <w:pStyle w:val="Prrafodelista"/>
        <w:numPr>
          <w:ilvl w:val="0"/>
          <w:numId w:val="11"/>
        </w:numPr>
        <w:spacing w:line="360" w:lineRule="auto"/>
        <w:ind w:left="426" w:hanging="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0161B6" w:rsidRPr="002021B7" w:rsidRDefault="000161B6" w:rsidP="000161B6">
      <w:pPr>
        <w:pStyle w:val="Prrafodelista"/>
        <w:spacing w:line="360" w:lineRule="auto"/>
        <w:ind w:left="426" w:hanging="426"/>
        <w:jc w:val="both"/>
        <w:rPr>
          <w:rFonts w:ascii="Palatino Linotype" w:hAnsi="Palatino Linotype"/>
          <w:sz w:val="24"/>
          <w:szCs w:val="24"/>
        </w:rPr>
      </w:pPr>
    </w:p>
    <w:p w:rsidR="000161B6" w:rsidRPr="002021B7" w:rsidRDefault="000161B6" w:rsidP="000161B6">
      <w:pPr>
        <w:pStyle w:val="Prrafodelista"/>
        <w:numPr>
          <w:ilvl w:val="0"/>
          <w:numId w:val="11"/>
        </w:numPr>
        <w:spacing w:line="360" w:lineRule="auto"/>
        <w:ind w:left="426" w:hanging="426"/>
        <w:jc w:val="both"/>
        <w:rPr>
          <w:rFonts w:ascii="Palatino Linotype" w:hAnsi="Palatino Linotype"/>
          <w:sz w:val="24"/>
          <w:szCs w:val="24"/>
        </w:rPr>
      </w:pPr>
      <w:r w:rsidRPr="002021B7">
        <w:rPr>
          <w:rFonts w:ascii="Palatino Linotype" w:hAnsi="Palatino Linotype"/>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161B6" w:rsidRPr="002021B7" w:rsidRDefault="000161B6" w:rsidP="000161B6">
      <w:pPr>
        <w:pStyle w:val="Prrafodelista"/>
        <w:spacing w:line="360" w:lineRule="auto"/>
        <w:ind w:left="1068"/>
        <w:jc w:val="both"/>
        <w:rPr>
          <w:rFonts w:ascii="Palatino Linotype" w:hAnsi="Palatino Linotype" w:cs="Arial"/>
          <w:color w:val="000000" w:themeColor="text1"/>
          <w:sz w:val="24"/>
          <w:szCs w:val="24"/>
        </w:rPr>
      </w:pPr>
    </w:p>
    <w:p w:rsidR="000161B6" w:rsidRPr="0047457F" w:rsidRDefault="000161B6" w:rsidP="000161B6">
      <w:pPr>
        <w:pStyle w:val="Ttulo1"/>
        <w:numPr>
          <w:ilvl w:val="0"/>
          <w:numId w:val="47"/>
        </w:numPr>
        <w:ind w:left="0" w:firstLine="0"/>
        <w:rPr>
          <w:b w:val="0"/>
        </w:rPr>
      </w:pPr>
      <w:bookmarkStart w:id="9" w:name="_Toc485891457"/>
      <w:bookmarkStart w:id="10" w:name="_Toc273079"/>
      <w:r w:rsidRPr="0047457F">
        <w:t>Condiciones especiales de la clasificación de la información como reservada</w:t>
      </w:r>
      <w:bookmarkEnd w:id="9"/>
      <w:bookmarkEnd w:id="10"/>
      <w:r w:rsidRPr="0047457F">
        <w:t xml:space="preserve"> </w:t>
      </w:r>
    </w:p>
    <w:p w:rsidR="000161B6" w:rsidRPr="002021B7" w:rsidRDefault="000161B6" w:rsidP="000161B6">
      <w:pPr>
        <w:pStyle w:val="Prrafodelista"/>
        <w:spacing w:line="360" w:lineRule="auto"/>
        <w:ind w:left="1428"/>
        <w:jc w:val="both"/>
        <w:rPr>
          <w:rFonts w:ascii="Palatino Linotype" w:hAnsi="Palatino Linotype" w:cs="Arial"/>
          <w:b/>
          <w:color w:val="000000" w:themeColor="text1"/>
          <w:sz w:val="24"/>
          <w:szCs w:val="24"/>
        </w:rPr>
      </w:pPr>
    </w:p>
    <w:p w:rsidR="000161B6" w:rsidRPr="0047457F" w:rsidRDefault="000161B6" w:rsidP="000161B6">
      <w:pPr>
        <w:ind w:left="567"/>
        <w:rPr>
          <w:rFonts w:ascii="Palatino Linotype" w:hAnsi="Palatino Linotype"/>
          <w:b/>
          <w:sz w:val="24"/>
        </w:rPr>
      </w:pPr>
      <w:r w:rsidRPr="0047457F">
        <w:rPr>
          <w:rFonts w:ascii="Palatino Linotype" w:hAnsi="Palatino Linotype"/>
          <w:b/>
          <w:sz w:val="24"/>
        </w:rPr>
        <w:t>La fundamentación específica</w:t>
      </w:r>
    </w:p>
    <w:p w:rsidR="000161B6" w:rsidRPr="002021B7" w:rsidRDefault="000161B6" w:rsidP="000161B6">
      <w:pPr>
        <w:pStyle w:val="Prrafodelista"/>
        <w:spacing w:line="360" w:lineRule="auto"/>
        <w:ind w:left="360"/>
        <w:jc w:val="both"/>
        <w:rPr>
          <w:rFonts w:ascii="Palatino Linotype" w:hAnsi="Palatino Linotype" w:cs="Arial"/>
          <w:color w:val="000000" w:themeColor="text1"/>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cs="Arial"/>
          <w:color w:val="000000" w:themeColor="text1"/>
          <w:sz w:val="24"/>
          <w:szCs w:val="24"/>
        </w:rPr>
      </w:pPr>
      <w:r w:rsidRPr="002021B7">
        <w:rPr>
          <w:rFonts w:ascii="Palatino Linotype" w:hAnsi="Palatino Linotype" w:cs="Arial"/>
          <w:color w:val="000000" w:themeColor="text1"/>
          <w:sz w:val="24"/>
          <w:szCs w:val="24"/>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0161B6" w:rsidRPr="002021B7" w:rsidRDefault="000161B6" w:rsidP="000161B6">
      <w:pPr>
        <w:pStyle w:val="Prrafodelista"/>
        <w:spacing w:line="360" w:lineRule="auto"/>
        <w:ind w:left="1428"/>
        <w:jc w:val="both"/>
        <w:rPr>
          <w:rFonts w:ascii="Palatino Linotype" w:hAnsi="Palatino Linotype" w:cs="Arial"/>
          <w:b/>
          <w:color w:val="000000" w:themeColor="text1"/>
          <w:sz w:val="24"/>
          <w:szCs w:val="24"/>
        </w:rPr>
      </w:pPr>
    </w:p>
    <w:p w:rsidR="000161B6" w:rsidRPr="0047457F" w:rsidRDefault="000161B6" w:rsidP="000161B6">
      <w:pPr>
        <w:ind w:left="567"/>
        <w:rPr>
          <w:rFonts w:ascii="Palatino Linotype" w:hAnsi="Palatino Linotype"/>
          <w:b/>
          <w:sz w:val="24"/>
        </w:rPr>
      </w:pPr>
      <w:r w:rsidRPr="0047457F">
        <w:rPr>
          <w:rFonts w:ascii="Palatino Linotype" w:hAnsi="Palatino Linotype"/>
          <w:b/>
          <w:sz w:val="24"/>
        </w:rPr>
        <w:t>La prueba de daño</w:t>
      </w:r>
    </w:p>
    <w:p w:rsidR="000161B6" w:rsidRPr="002021B7" w:rsidRDefault="000161B6" w:rsidP="000161B6">
      <w:pPr>
        <w:pStyle w:val="Prrafodelista"/>
        <w:spacing w:line="360" w:lineRule="auto"/>
        <w:ind w:left="360"/>
        <w:jc w:val="both"/>
        <w:rPr>
          <w:rFonts w:ascii="Palatino Linotype" w:hAnsi="Palatino Linotype"/>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w:t>
      </w:r>
      <w:r w:rsidRPr="002021B7">
        <w:rPr>
          <w:rFonts w:ascii="Palatino Linotype" w:hAnsi="Palatino Linotype"/>
          <w:sz w:val="24"/>
          <w:szCs w:val="24"/>
        </w:rPr>
        <w:lastRenderedPageBreak/>
        <w:t>es una parte del acuerdo y otra parte, distinta, es la que corresponde a la prueba de daño, la que debe aplicarse caso por caso, esto es, no se puede hacer una prueba de daño de un expediente completo, sino de cada uno de los documentos que lo integran.</w:t>
      </w:r>
    </w:p>
    <w:p w:rsidR="000161B6" w:rsidRPr="002021B7" w:rsidRDefault="000161B6" w:rsidP="000161B6">
      <w:pPr>
        <w:pStyle w:val="Prrafodelista"/>
        <w:spacing w:line="360" w:lineRule="auto"/>
        <w:ind w:left="426"/>
        <w:jc w:val="both"/>
        <w:rPr>
          <w:rFonts w:ascii="Palatino Linotype" w:hAnsi="Palatino Linotype"/>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t>Para aplicar la prueba de daño, se deberán de precisar la razones objetivas por las que la apertura genera una afectación, acreditando que:</w:t>
      </w:r>
    </w:p>
    <w:p w:rsidR="000161B6" w:rsidRPr="002021B7"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 w:val="24"/>
          <w:szCs w:val="24"/>
          <w:lang w:val="es-ES_tradnl"/>
        </w:rPr>
      </w:pPr>
      <w:r w:rsidRPr="002021B7">
        <w:rPr>
          <w:rFonts w:ascii="Palatino Linotype" w:hAnsi="Palatino Linotype" w:cs="Bookman Old Style"/>
          <w:bCs/>
          <w:color w:val="000000"/>
          <w:sz w:val="24"/>
          <w:szCs w:val="24"/>
          <w:lang w:val="es-ES_tradnl"/>
        </w:rPr>
        <w:t xml:space="preserve">I. </w:t>
      </w:r>
      <w:r w:rsidRPr="002021B7">
        <w:rPr>
          <w:rFonts w:ascii="Palatino Linotype" w:hAnsi="Palatino Linotype" w:cs="Bookman Old Style"/>
          <w:color w:val="000000"/>
          <w:sz w:val="24"/>
          <w:szCs w:val="24"/>
          <w:lang w:val="es-ES_tradnl"/>
        </w:rPr>
        <w:t xml:space="preserve">La divulgación de la información representa un riesgo real, demostrable e identificable del perjuicio significativo al interés público o a la seguridad pública; </w:t>
      </w:r>
    </w:p>
    <w:p w:rsidR="000161B6" w:rsidRPr="002021B7"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 w:val="24"/>
          <w:szCs w:val="24"/>
          <w:lang w:val="es-ES_tradnl"/>
        </w:rPr>
      </w:pPr>
      <w:r w:rsidRPr="002021B7">
        <w:rPr>
          <w:rFonts w:ascii="Palatino Linotype" w:hAnsi="Palatino Linotype" w:cs="Bookman Old Style"/>
          <w:bCs/>
          <w:color w:val="000000"/>
          <w:sz w:val="24"/>
          <w:szCs w:val="24"/>
          <w:lang w:val="es-ES_tradnl"/>
        </w:rPr>
        <w:t xml:space="preserve">II. </w:t>
      </w:r>
      <w:r w:rsidRPr="002021B7">
        <w:rPr>
          <w:rFonts w:ascii="Palatino Linotype" w:hAnsi="Palatino Linotype" w:cs="Bookman Old Style"/>
          <w:color w:val="000000"/>
          <w:sz w:val="24"/>
          <w:szCs w:val="24"/>
          <w:lang w:val="es-ES_tradnl"/>
        </w:rPr>
        <w:t xml:space="preserve">El riesgo de perjuicio que supondría la divulgación supera el interés público general de que se difunda; y </w:t>
      </w:r>
    </w:p>
    <w:p w:rsidR="000161B6" w:rsidRPr="002021B7" w:rsidRDefault="000161B6" w:rsidP="000161B6">
      <w:pPr>
        <w:widowControl w:val="0"/>
        <w:autoSpaceDE w:val="0"/>
        <w:autoSpaceDN w:val="0"/>
        <w:adjustRightInd w:val="0"/>
        <w:spacing w:after="240" w:line="360" w:lineRule="auto"/>
        <w:ind w:left="709" w:right="333" w:hanging="283"/>
        <w:jc w:val="both"/>
        <w:rPr>
          <w:rFonts w:ascii="Palatino Linotype" w:hAnsi="Palatino Linotype" w:cs="Times"/>
          <w:color w:val="000000"/>
          <w:sz w:val="24"/>
          <w:szCs w:val="24"/>
          <w:lang w:val="es-ES_tradnl"/>
        </w:rPr>
      </w:pPr>
      <w:r w:rsidRPr="002021B7">
        <w:rPr>
          <w:rFonts w:ascii="Palatino Linotype" w:hAnsi="Palatino Linotype" w:cs="Bookman Old Style"/>
          <w:bCs/>
          <w:color w:val="000000"/>
          <w:sz w:val="24"/>
          <w:szCs w:val="24"/>
          <w:lang w:val="es-ES_tradnl"/>
        </w:rPr>
        <w:t xml:space="preserve">III. </w:t>
      </w:r>
      <w:r w:rsidRPr="002021B7">
        <w:rPr>
          <w:rFonts w:ascii="Palatino Linotype" w:hAnsi="Palatino Linotype" w:cs="Bookman Old Style"/>
          <w:color w:val="000000"/>
          <w:sz w:val="24"/>
          <w:szCs w:val="24"/>
          <w:lang w:val="es-ES_tradnl"/>
        </w:rPr>
        <w:t xml:space="preserve">La limitación se adecua al principio de proporcionalidad y representa el medio menos restrictivo disponible para evitar el perjuicio. </w:t>
      </w:r>
    </w:p>
    <w:p w:rsidR="000161B6" w:rsidRPr="002021B7" w:rsidRDefault="000161B6" w:rsidP="000161B6">
      <w:pPr>
        <w:spacing w:line="360" w:lineRule="auto"/>
        <w:jc w:val="both"/>
        <w:rPr>
          <w:rFonts w:ascii="Palatino Linotype" w:hAnsi="Palatino Linotype"/>
          <w:sz w:val="24"/>
          <w:szCs w:val="24"/>
        </w:rPr>
      </w:pPr>
    </w:p>
    <w:p w:rsidR="000161B6" w:rsidRPr="002021B7" w:rsidRDefault="000161B6" w:rsidP="000161B6">
      <w:pPr>
        <w:pStyle w:val="j"/>
        <w:numPr>
          <w:ilvl w:val="0"/>
          <w:numId w:val="11"/>
        </w:numPr>
        <w:shd w:val="clear" w:color="auto" w:fill="FFFFFF"/>
        <w:suppressAutoHyphens/>
        <w:spacing w:line="360" w:lineRule="auto"/>
        <w:ind w:left="426" w:hanging="357"/>
        <w:jc w:val="both"/>
        <w:textAlignment w:val="baseline"/>
        <w:rPr>
          <w:rFonts w:ascii="Palatino Linotype" w:hAnsi="Palatino Linotype"/>
        </w:rPr>
      </w:pPr>
      <w:r w:rsidRPr="002021B7">
        <w:rPr>
          <w:rFonts w:ascii="Palatino Linotype" w:hAnsi="Palatino Linotype"/>
        </w:rPr>
        <w:t>Sobre el primer supuesto consideremos que según el diccionario del español jurídico, por riesgo podemos entender “la contingencia o proximidad de un daño”,</w:t>
      </w:r>
      <w:r w:rsidRPr="002021B7">
        <w:rPr>
          <w:rStyle w:val="Refdenotaalpie"/>
          <w:rFonts w:ascii="Palatino Linotype" w:hAnsi="Palatino Linotype"/>
        </w:rPr>
        <w:footnoteReference w:id="4"/>
      </w:r>
      <w:r w:rsidRPr="002021B7">
        <w:rPr>
          <w:rFonts w:ascii="Palatino Linotype" w:hAnsi="Palatino Linotype"/>
        </w:rPr>
        <w:t xml:space="preserve"> mientras que el daño es considerado como un “perjuicio o lesión”</w:t>
      </w:r>
      <w:r w:rsidRPr="002021B7">
        <w:rPr>
          <w:rStyle w:val="Refdenotaalpie"/>
          <w:rFonts w:ascii="Palatino Linotype" w:hAnsi="Palatino Linotype"/>
        </w:rPr>
        <w:footnoteReference w:id="5"/>
      </w:r>
      <w:r w:rsidRPr="002021B7">
        <w:rPr>
          <w:rFonts w:ascii="Palatino Linotype" w:hAnsi="Palatino Linotype"/>
        </w:rPr>
        <w:t xml:space="preserve">, </w:t>
      </w:r>
      <w:r w:rsidRPr="002021B7">
        <w:rPr>
          <w:rFonts w:ascii="Palatino Linotype" w:hAnsi="Palatino Linotype"/>
        </w:rPr>
        <w:lastRenderedPageBreak/>
        <w:t>mientras que según el Diccionario de la Lengua Española, lo real es</w:t>
      </w:r>
      <w:r w:rsidRPr="002021B7">
        <w:rPr>
          <w:rFonts w:ascii="Palatino Linotype" w:eastAsia="Arial Unicode MS" w:hAnsi="Palatino Linotype" w:cs="Arial Unicode MS"/>
          <w:color w:val="000000"/>
          <w:spacing w:val="4"/>
          <w:shd w:val="clear" w:color="auto" w:fill="FFFFFF"/>
        </w:rPr>
        <w:t> lo “</w:t>
      </w:r>
      <w:r w:rsidRPr="002021B7">
        <w:rPr>
          <w:rFonts w:ascii="Palatino Linotype" w:eastAsia="Times New Roman" w:hAnsi="Palatino Linotype"/>
        </w:rPr>
        <w:t>(q</w:t>
      </w:r>
      <w:proofErr w:type="gramStart"/>
      <w:r w:rsidRPr="002021B7">
        <w:rPr>
          <w:rFonts w:ascii="Palatino Linotype" w:eastAsia="Times New Roman" w:hAnsi="Palatino Linotype"/>
        </w:rPr>
        <w:t>)</w:t>
      </w:r>
      <w:proofErr w:type="spellStart"/>
      <w:r w:rsidRPr="002021B7">
        <w:rPr>
          <w:rFonts w:ascii="Palatino Linotype" w:eastAsia="Times New Roman" w:hAnsi="Palatino Linotype"/>
        </w:rPr>
        <w:t>ue</w:t>
      </w:r>
      <w:proofErr w:type="spellEnd"/>
      <w:proofErr w:type="gramEnd"/>
      <w:r w:rsidRPr="002021B7">
        <w:rPr>
          <w:rFonts w:ascii="Palatino Linotype" w:eastAsia="Arial Unicode MS" w:hAnsi="Palatino Linotype" w:cs="Arial Unicode MS"/>
          <w:color w:val="000000"/>
          <w:spacing w:val="4"/>
          <w:shd w:val="clear" w:color="auto" w:fill="FFFFFF"/>
        </w:rPr>
        <w:t> </w:t>
      </w:r>
      <w:r w:rsidRPr="002021B7">
        <w:rPr>
          <w:rFonts w:ascii="Palatino Linotype" w:eastAsia="Times New Roman" w:hAnsi="Palatino Linotype"/>
        </w:rPr>
        <w:t>tiene</w:t>
      </w:r>
      <w:r w:rsidRPr="002021B7">
        <w:rPr>
          <w:rFonts w:ascii="Palatino Linotype" w:eastAsia="Arial Unicode MS" w:hAnsi="Palatino Linotype" w:cs="Arial Unicode MS"/>
          <w:color w:val="000000"/>
          <w:spacing w:val="4"/>
          <w:shd w:val="clear" w:color="auto" w:fill="FFFFFF"/>
        </w:rPr>
        <w:t> </w:t>
      </w:r>
      <w:r w:rsidRPr="002021B7">
        <w:rPr>
          <w:rFonts w:ascii="Palatino Linotype" w:eastAsia="Times New Roman" w:hAnsi="Palatino Linotype"/>
        </w:rPr>
        <w:t>existencia</w:t>
      </w:r>
      <w:r w:rsidRPr="002021B7">
        <w:rPr>
          <w:rFonts w:ascii="Palatino Linotype" w:eastAsia="Arial Unicode MS" w:hAnsi="Palatino Linotype" w:cs="Arial Unicode MS"/>
          <w:color w:val="000000"/>
          <w:spacing w:val="4"/>
          <w:shd w:val="clear" w:color="auto" w:fill="FFFFFF"/>
        </w:rPr>
        <w:t> </w:t>
      </w:r>
      <w:r w:rsidRPr="002021B7">
        <w:rPr>
          <w:rFonts w:ascii="Palatino Linotype" w:eastAsia="Times New Roman" w:hAnsi="Palatino Linotype"/>
        </w:rPr>
        <w:t>objetiva”,</w:t>
      </w:r>
      <w:r w:rsidRPr="002021B7">
        <w:rPr>
          <w:rStyle w:val="Refdenotaalpie"/>
          <w:rFonts w:ascii="Palatino Linotype" w:eastAsia="Times New Roman" w:hAnsi="Palatino Linotype"/>
        </w:rPr>
        <w:footnoteReference w:id="6"/>
      </w:r>
      <w:r w:rsidRPr="002021B7">
        <w:rPr>
          <w:rFonts w:ascii="Palatino Linotype" w:eastAsia="Times New Roman" w:hAnsi="Palatino Linotype"/>
        </w:rPr>
        <w:t xml:space="preserve"> </w:t>
      </w:r>
      <w:r w:rsidRPr="002021B7">
        <w:rPr>
          <w:rFonts w:ascii="Palatino Linotype" w:eastAsia="Arial Unicode MS" w:hAnsi="Palatino Linotype" w:cs="Arial Unicode MS"/>
          <w:color w:val="000000"/>
          <w:spacing w:val="4"/>
          <w:shd w:val="clear" w:color="auto" w:fill="FFFFFF"/>
        </w:rPr>
        <w:t>mientras que lo demostrables es, según la misma fuente, aquello que se puede demostrar,</w:t>
      </w:r>
      <w:r w:rsidRPr="002021B7">
        <w:rPr>
          <w:rStyle w:val="Refdenotaalpie"/>
          <w:rFonts w:ascii="Palatino Linotype" w:eastAsia="Arial Unicode MS" w:hAnsi="Palatino Linotype" w:cs="Arial Unicode MS"/>
          <w:color w:val="000000"/>
          <w:spacing w:val="4"/>
          <w:shd w:val="clear" w:color="auto" w:fill="FFFFFF"/>
        </w:rPr>
        <w:footnoteReference w:id="7"/>
      </w:r>
      <w:r w:rsidRPr="002021B7">
        <w:rPr>
          <w:rFonts w:ascii="Palatino Linotype" w:eastAsia="Arial Unicode MS" w:hAnsi="Palatino Linotype" w:cs="Arial Unicode MS"/>
          <w:color w:val="000000"/>
          <w:spacing w:val="4"/>
          <w:shd w:val="clear" w:color="auto" w:fill="FFFFFF"/>
        </w:rPr>
        <w:t xml:space="preserve"> es decir, </w:t>
      </w:r>
      <w:r w:rsidRPr="002021B7">
        <w:rPr>
          <w:rFonts w:ascii="Palatino Linotype" w:hAnsi="Palatino Linotype" w:cstheme="minorBidi"/>
          <w:lang w:val="es-MX" w:eastAsia="en-US"/>
        </w:rPr>
        <w:t>“(m)anifestar, declarar. Probar, sirviéndose de cualquier género de demostración, </w:t>
      </w:r>
      <w:hyperlink r:id="rId9" w:anchor="6nAyKjE" w:history="1">
        <w:r w:rsidRPr="002021B7">
          <w:rPr>
            <w:rFonts w:ascii="Palatino Linotype" w:hAnsi="Palatino Linotype" w:cstheme="minorBidi"/>
            <w:lang w:val="es-MX" w:eastAsia="en-US"/>
          </w:rPr>
          <w:t>enseñar</w:t>
        </w:r>
      </w:hyperlink>
      <w:r w:rsidRPr="002021B7">
        <w:rPr>
          <w:rFonts w:ascii="Palatino Linotype" w:hAnsi="Palatino Linotype" w:cstheme="minorBidi"/>
          <w:lang w:val="es-MX" w:eastAsia="en-US"/>
        </w:rPr>
        <w:t> mostrar o exponer algo)”.</w:t>
      </w:r>
      <w:r w:rsidRPr="002021B7">
        <w:rPr>
          <w:rStyle w:val="Refdenotaalpie"/>
          <w:rFonts w:ascii="Palatino Linotype" w:hAnsi="Palatino Linotype" w:cstheme="minorBidi"/>
          <w:lang w:val="es-MX" w:eastAsia="en-US"/>
        </w:rPr>
        <w:footnoteReference w:id="8"/>
      </w:r>
      <w:r w:rsidRPr="002021B7">
        <w:rPr>
          <w:rFonts w:ascii="Palatino Linotype" w:hAnsi="Palatino Linotype" w:cstheme="minorBidi"/>
          <w:lang w:val="es-MX" w:eastAsia="en-US"/>
        </w:rPr>
        <w:t xml:space="preserve"> Mientras que lo identificable es lo que puede ser identificado,</w:t>
      </w:r>
      <w:r w:rsidRPr="002021B7">
        <w:rPr>
          <w:rStyle w:val="Refdenotaalpie"/>
          <w:rFonts w:ascii="Palatino Linotype" w:hAnsi="Palatino Linotype" w:cstheme="minorBidi"/>
          <w:lang w:val="es-MX" w:eastAsia="en-US"/>
        </w:rPr>
        <w:footnoteReference w:id="9"/>
      </w:r>
      <w:r w:rsidRPr="002021B7">
        <w:rPr>
          <w:rFonts w:ascii="Palatino Linotype" w:hAnsi="Palatino Linotype" w:cstheme="minorBidi"/>
          <w:lang w:val="es-MX" w:eastAsia="en-US"/>
        </w:rPr>
        <w:t xml:space="preserve"> esto es,</w:t>
      </w:r>
      <w:r w:rsidRPr="002021B7">
        <w:rPr>
          <w:rFonts w:ascii="Palatino Linotype" w:hAnsi="Palatino Linotype" w:cstheme="minorBidi"/>
        </w:rPr>
        <w:t>  “(d</w:t>
      </w:r>
      <w:proofErr w:type="gramStart"/>
      <w:r w:rsidRPr="002021B7">
        <w:rPr>
          <w:rFonts w:ascii="Palatino Linotype" w:hAnsi="Palatino Linotype" w:cstheme="minorBidi"/>
        </w:rPr>
        <w:t>)</w:t>
      </w:r>
      <w:proofErr w:type="spellStart"/>
      <w:r w:rsidRPr="002021B7">
        <w:rPr>
          <w:rFonts w:ascii="Palatino Linotype" w:hAnsi="Palatino Linotype" w:cstheme="minorBidi"/>
        </w:rPr>
        <w:t>ar</w:t>
      </w:r>
      <w:proofErr w:type="spellEnd"/>
      <w:proofErr w:type="gramEnd"/>
      <w:r w:rsidRPr="002021B7">
        <w:rPr>
          <w:rFonts w:ascii="Palatino Linotype" w:hAnsi="Palatino Linotype" w:cstheme="minorBidi"/>
        </w:rPr>
        <w:t> los datos necesarios para ser reconocido”.</w:t>
      </w:r>
      <w:r w:rsidRPr="002021B7">
        <w:rPr>
          <w:rStyle w:val="Refdenotaalpie"/>
          <w:rFonts w:ascii="Palatino Linotype" w:hAnsi="Palatino Linotype" w:cstheme="minorBidi"/>
        </w:rPr>
        <w:footnoteReference w:id="10"/>
      </w:r>
    </w:p>
    <w:p w:rsidR="000161B6" w:rsidRPr="002021B7" w:rsidRDefault="000161B6" w:rsidP="000161B6">
      <w:pPr>
        <w:pStyle w:val="Prrafodelista"/>
        <w:spacing w:line="360" w:lineRule="auto"/>
        <w:ind w:left="426"/>
        <w:jc w:val="both"/>
        <w:rPr>
          <w:rFonts w:ascii="Palatino Linotype" w:hAnsi="Palatino Linotype"/>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t xml:space="preserve">Identificado ese riesgo, se debe demostrar que el mismo supera el interés público general porque se difunda dicha información. </w:t>
      </w:r>
    </w:p>
    <w:p w:rsidR="000161B6" w:rsidRPr="002021B7" w:rsidRDefault="000161B6" w:rsidP="000161B6">
      <w:pPr>
        <w:pStyle w:val="Prrafodelista"/>
        <w:spacing w:line="360" w:lineRule="auto"/>
        <w:ind w:left="426"/>
        <w:jc w:val="both"/>
        <w:rPr>
          <w:rFonts w:ascii="Palatino Linotype" w:hAnsi="Palatino Linotype"/>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lastRenderedPageBreak/>
        <w:t>Y, por último,  que la limitación es acorde con el principio de proporcionalidad, para ello, se sugiere emplear los tres juicios propuestos por la Corte Constitucional Colombiana</w:t>
      </w:r>
      <w:r w:rsidRPr="002021B7">
        <w:rPr>
          <w:rStyle w:val="Refdenotaalpie"/>
          <w:rFonts w:ascii="Palatino Linotype" w:hAnsi="Palatino Linotype"/>
          <w:sz w:val="24"/>
          <w:szCs w:val="24"/>
        </w:rPr>
        <w:footnoteReference w:id="11"/>
      </w:r>
      <w:r w:rsidRPr="002021B7">
        <w:rPr>
          <w:rFonts w:ascii="Palatino Linotype" w:hAnsi="Palatino Linotype"/>
          <w:sz w:val="24"/>
          <w:szCs w:val="24"/>
        </w:rPr>
        <w:t>, siguiendo el principio de ponderación propuesto por el Tribunal Constitucional Alemán,</w:t>
      </w:r>
      <w:r w:rsidRPr="002021B7">
        <w:rPr>
          <w:rStyle w:val="Refdenotaalpie"/>
          <w:rFonts w:ascii="Palatino Linotype" w:hAnsi="Palatino Linotype"/>
          <w:sz w:val="24"/>
          <w:szCs w:val="24"/>
        </w:rPr>
        <w:footnoteReference w:id="12"/>
      </w:r>
      <w:r w:rsidRPr="002021B7">
        <w:rPr>
          <w:rFonts w:ascii="Palatino Linotype" w:hAnsi="Palatino Linotype"/>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0161B6" w:rsidRPr="002021B7" w:rsidRDefault="000161B6" w:rsidP="000161B6">
      <w:pPr>
        <w:pStyle w:val="Prrafodelista"/>
        <w:rPr>
          <w:rFonts w:ascii="Palatino Linotype" w:hAnsi="Palatino Linotype"/>
          <w:sz w:val="24"/>
          <w:szCs w:val="24"/>
        </w:rPr>
      </w:pPr>
    </w:p>
    <w:p w:rsidR="000161B6" w:rsidRDefault="000161B6" w:rsidP="000161B6">
      <w:pPr>
        <w:ind w:left="567"/>
        <w:rPr>
          <w:rFonts w:ascii="Palatino Linotype" w:hAnsi="Palatino Linotype"/>
          <w:b/>
          <w:sz w:val="24"/>
        </w:rPr>
      </w:pPr>
      <w:r w:rsidRPr="0047457F">
        <w:rPr>
          <w:rFonts w:ascii="Palatino Linotype" w:hAnsi="Palatino Linotype"/>
          <w:b/>
          <w:sz w:val="24"/>
        </w:rPr>
        <w:t>La clasificación de la información reservada debe ser de manera temporal.</w:t>
      </w:r>
    </w:p>
    <w:p w:rsidR="000161B6" w:rsidRPr="0047457F" w:rsidRDefault="000161B6" w:rsidP="000161B6">
      <w:pPr>
        <w:ind w:left="567"/>
        <w:rPr>
          <w:rFonts w:ascii="Palatino Linotype" w:hAnsi="Palatino Linotype"/>
          <w:b/>
          <w:sz w:val="24"/>
        </w:rPr>
      </w:pPr>
    </w:p>
    <w:p w:rsidR="000161B6" w:rsidRPr="002021B7" w:rsidRDefault="000161B6" w:rsidP="000161B6">
      <w:pPr>
        <w:pStyle w:val="Prrafodelista"/>
        <w:numPr>
          <w:ilvl w:val="0"/>
          <w:numId w:val="11"/>
        </w:numPr>
        <w:spacing w:line="360" w:lineRule="auto"/>
        <w:ind w:left="426" w:hanging="426"/>
        <w:jc w:val="both"/>
        <w:rPr>
          <w:rFonts w:ascii="Palatino Linotype" w:hAnsi="Palatino Linotype"/>
          <w:sz w:val="24"/>
          <w:szCs w:val="24"/>
        </w:rPr>
      </w:pPr>
      <w:r w:rsidRPr="002021B7">
        <w:rPr>
          <w:rFonts w:ascii="Palatino Linotype" w:hAnsi="Palatino Linotype"/>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0161B6" w:rsidRPr="002021B7" w:rsidRDefault="000161B6" w:rsidP="000161B6">
      <w:pPr>
        <w:pStyle w:val="Prrafodelista"/>
        <w:spacing w:line="360" w:lineRule="auto"/>
        <w:ind w:left="426" w:hanging="426"/>
        <w:jc w:val="both"/>
        <w:rPr>
          <w:rFonts w:ascii="Palatino Linotype" w:hAnsi="Palatino Linotype"/>
          <w:sz w:val="24"/>
          <w:szCs w:val="24"/>
        </w:rPr>
      </w:pPr>
    </w:p>
    <w:p w:rsidR="000161B6" w:rsidRPr="00B82949" w:rsidRDefault="000161B6" w:rsidP="000161B6">
      <w:pPr>
        <w:pStyle w:val="Prrafodelista"/>
        <w:numPr>
          <w:ilvl w:val="0"/>
          <w:numId w:val="11"/>
        </w:numPr>
        <w:spacing w:line="360" w:lineRule="auto"/>
        <w:ind w:left="426" w:hanging="426"/>
        <w:jc w:val="both"/>
        <w:rPr>
          <w:rFonts w:ascii="Palatino Linotype" w:hAnsi="Palatino Linotype"/>
          <w:szCs w:val="24"/>
        </w:rPr>
      </w:pPr>
      <w:r w:rsidRPr="00B82949">
        <w:rPr>
          <w:rFonts w:ascii="Palatino Linotype" w:hAnsi="Palatino Linotype"/>
          <w:szCs w:val="24"/>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0161B6" w:rsidRPr="00B82949" w:rsidRDefault="000161B6" w:rsidP="000161B6">
      <w:pPr>
        <w:pStyle w:val="Prrafodelista"/>
        <w:ind w:left="426" w:hanging="426"/>
        <w:rPr>
          <w:rFonts w:ascii="Palatino Linotype" w:hAnsi="Palatino Linotype"/>
          <w:szCs w:val="24"/>
        </w:rPr>
      </w:pPr>
    </w:p>
    <w:p w:rsidR="000161B6" w:rsidRPr="00B82949" w:rsidRDefault="000161B6" w:rsidP="000161B6">
      <w:pPr>
        <w:pStyle w:val="Prrafodelista"/>
        <w:numPr>
          <w:ilvl w:val="0"/>
          <w:numId w:val="11"/>
        </w:numPr>
        <w:spacing w:line="360" w:lineRule="auto"/>
        <w:ind w:left="426" w:hanging="426"/>
        <w:jc w:val="both"/>
        <w:rPr>
          <w:rFonts w:ascii="Palatino Linotype" w:hAnsi="Palatino Linotype"/>
          <w:szCs w:val="24"/>
        </w:rPr>
      </w:pPr>
      <w:r w:rsidRPr="00B82949">
        <w:rPr>
          <w:rFonts w:ascii="Palatino Linotype" w:hAnsi="Palatino Linotype"/>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0161B6" w:rsidRPr="00B82949" w:rsidRDefault="000161B6" w:rsidP="000161B6">
      <w:pPr>
        <w:pStyle w:val="Prrafodelista"/>
        <w:ind w:left="426" w:hanging="426"/>
        <w:rPr>
          <w:rFonts w:ascii="Palatino Linotype" w:hAnsi="Palatino Linotype"/>
          <w:b/>
          <w:szCs w:val="24"/>
        </w:rPr>
      </w:pPr>
    </w:p>
    <w:p w:rsidR="000161B6" w:rsidRPr="00B82949" w:rsidRDefault="000161B6" w:rsidP="000161B6">
      <w:pPr>
        <w:pStyle w:val="Prrafodelista"/>
        <w:numPr>
          <w:ilvl w:val="0"/>
          <w:numId w:val="11"/>
        </w:numPr>
        <w:spacing w:line="360" w:lineRule="auto"/>
        <w:ind w:left="426" w:hanging="426"/>
        <w:jc w:val="both"/>
        <w:rPr>
          <w:rFonts w:ascii="Palatino Linotype" w:hAnsi="Palatino Linotype"/>
          <w:szCs w:val="24"/>
        </w:rPr>
      </w:pPr>
      <w:r w:rsidRPr="00B82949">
        <w:rPr>
          <w:rFonts w:ascii="Palatino Linotype" w:hAnsi="Palatino Linotype"/>
          <w:szCs w:val="24"/>
        </w:rPr>
        <w:t>De</w:t>
      </w:r>
      <w:r w:rsidRPr="00B82949">
        <w:rPr>
          <w:rFonts w:ascii="Palatino Linotype" w:hAnsi="Palatino Linotype"/>
          <w:b/>
          <w:szCs w:val="24"/>
        </w:rPr>
        <w:t xml:space="preserve"> </w:t>
      </w:r>
      <w:r w:rsidRPr="00B82949">
        <w:rPr>
          <w:rFonts w:ascii="Palatino Linotype" w:hAnsi="Palatino Linotype"/>
          <w:szCs w:val="24"/>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0161B6" w:rsidRPr="00B82949" w:rsidRDefault="000161B6" w:rsidP="000161B6">
      <w:pPr>
        <w:pStyle w:val="Prrafodelista"/>
        <w:ind w:left="426" w:hanging="426"/>
        <w:rPr>
          <w:rFonts w:ascii="Palatino Linotype" w:hAnsi="Palatino Linotype"/>
          <w:szCs w:val="24"/>
        </w:rPr>
      </w:pPr>
    </w:p>
    <w:p w:rsidR="000161B6" w:rsidRPr="00B82949" w:rsidRDefault="000161B6" w:rsidP="000161B6">
      <w:pPr>
        <w:pStyle w:val="Prrafodelista"/>
        <w:numPr>
          <w:ilvl w:val="0"/>
          <w:numId w:val="11"/>
        </w:numPr>
        <w:spacing w:line="360" w:lineRule="auto"/>
        <w:ind w:left="426" w:hanging="426"/>
        <w:jc w:val="both"/>
        <w:rPr>
          <w:rFonts w:ascii="Palatino Linotype" w:hAnsi="Palatino Linotype"/>
          <w:szCs w:val="24"/>
        </w:rPr>
      </w:pPr>
      <w:r w:rsidRPr="00B82949">
        <w:rPr>
          <w:rFonts w:ascii="Palatino Linotype" w:hAnsi="Palatino Linotype"/>
          <w:szCs w:val="24"/>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0161B6" w:rsidRPr="002021B7" w:rsidRDefault="000161B6" w:rsidP="000161B6">
      <w:pPr>
        <w:pStyle w:val="Prrafodelista"/>
        <w:ind w:left="426" w:hanging="426"/>
        <w:rPr>
          <w:rFonts w:ascii="Palatino Linotype" w:hAnsi="Palatino Linotype"/>
          <w:sz w:val="24"/>
          <w:szCs w:val="24"/>
        </w:rPr>
      </w:pPr>
    </w:p>
    <w:p w:rsidR="000161B6" w:rsidRPr="002021B7" w:rsidRDefault="000161B6" w:rsidP="000161B6">
      <w:pPr>
        <w:pStyle w:val="Prrafodelista"/>
        <w:numPr>
          <w:ilvl w:val="0"/>
          <w:numId w:val="11"/>
        </w:numPr>
        <w:spacing w:line="360" w:lineRule="auto"/>
        <w:ind w:left="426" w:hanging="426"/>
        <w:jc w:val="both"/>
        <w:rPr>
          <w:rFonts w:ascii="Palatino Linotype" w:hAnsi="Palatino Linotype"/>
          <w:sz w:val="24"/>
          <w:szCs w:val="24"/>
        </w:rPr>
      </w:pPr>
      <w:r w:rsidRPr="002021B7">
        <w:rPr>
          <w:rFonts w:ascii="Palatino Linotype" w:hAnsi="Palatino Linotype"/>
          <w:sz w:val="24"/>
          <w:szCs w:val="24"/>
        </w:rPr>
        <w:t>Ahora bien, al caso en particular, se debe estar atento a lo que contiene el artículo 132 y 106 de la Ley Estatal y Ley General respectivamente los cuales establecen lo siguiente:</w:t>
      </w:r>
    </w:p>
    <w:p w:rsidR="000161B6" w:rsidRPr="002021B7" w:rsidRDefault="000161B6" w:rsidP="000161B6">
      <w:pPr>
        <w:autoSpaceDE w:val="0"/>
        <w:autoSpaceDN w:val="0"/>
        <w:adjustRightInd w:val="0"/>
        <w:spacing w:after="0" w:line="360" w:lineRule="auto"/>
        <w:ind w:left="567" w:right="616"/>
        <w:jc w:val="both"/>
        <w:rPr>
          <w:rFonts w:ascii="Palatino Linotype" w:hAnsi="Palatino Linotype" w:cs="Bookman Old Style"/>
          <w:i/>
          <w:sz w:val="24"/>
          <w:szCs w:val="24"/>
          <w:lang w:val="es-ES"/>
        </w:rPr>
      </w:pPr>
      <w:r w:rsidRPr="002021B7">
        <w:rPr>
          <w:rFonts w:ascii="Palatino Linotype" w:hAnsi="Palatino Linotype" w:cs="Bookman Old Style,Bold"/>
          <w:b/>
          <w:bCs/>
          <w:i/>
          <w:sz w:val="24"/>
          <w:szCs w:val="24"/>
          <w:lang w:val="es-ES"/>
        </w:rPr>
        <w:t xml:space="preserve">Artículo 132. </w:t>
      </w:r>
      <w:r w:rsidRPr="002021B7">
        <w:rPr>
          <w:rFonts w:ascii="Palatino Linotype" w:hAnsi="Palatino Linotype" w:cs="Bookman Old Style"/>
          <w:i/>
          <w:sz w:val="24"/>
          <w:szCs w:val="24"/>
          <w:lang w:val="es-ES"/>
        </w:rPr>
        <w:t>La clasificación de la información se llevará a cabo en el momento en que:</w:t>
      </w:r>
    </w:p>
    <w:p w:rsidR="000161B6" w:rsidRPr="002021B7" w:rsidRDefault="000161B6" w:rsidP="000161B6">
      <w:pPr>
        <w:autoSpaceDE w:val="0"/>
        <w:autoSpaceDN w:val="0"/>
        <w:adjustRightInd w:val="0"/>
        <w:spacing w:after="0" w:line="360" w:lineRule="auto"/>
        <w:ind w:left="567" w:right="616"/>
        <w:jc w:val="both"/>
        <w:rPr>
          <w:rFonts w:ascii="Palatino Linotype" w:hAnsi="Palatino Linotype" w:cs="Bookman Old Style"/>
          <w:i/>
          <w:sz w:val="24"/>
          <w:szCs w:val="24"/>
          <w:lang w:val="es-ES"/>
        </w:rPr>
      </w:pPr>
    </w:p>
    <w:p w:rsidR="000161B6" w:rsidRPr="002021B7" w:rsidRDefault="000161B6" w:rsidP="000161B6">
      <w:pPr>
        <w:autoSpaceDE w:val="0"/>
        <w:autoSpaceDN w:val="0"/>
        <w:adjustRightInd w:val="0"/>
        <w:spacing w:after="0" w:line="360" w:lineRule="auto"/>
        <w:ind w:left="567" w:right="616"/>
        <w:jc w:val="both"/>
        <w:rPr>
          <w:rFonts w:ascii="Palatino Linotype" w:hAnsi="Palatino Linotype" w:cs="Bookman Old Style"/>
          <w:i/>
          <w:sz w:val="24"/>
          <w:szCs w:val="24"/>
          <w:lang w:val="es-ES"/>
        </w:rPr>
      </w:pPr>
      <w:r w:rsidRPr="002021B7">
        <w:rPr>
          <w:rFonts w:ascii="Palatino Linotype" w:hAnsi="Palatino Linotype" w:cs="Bookman Old Style,Bold"/>
          <w:b/>
          <w:bCs/>
          <w:i/>
          <w:sz w:val="24"/>
          <w:szCs w:val="24"/>
          <w:lang w:val="es-ES"/>
        </w:rPr>
        <w:t xml:space="preserve">I. </w:t>
      </w:r>
      <w:r w:rsidRPr="002021B7">
        <w:rPr>
          <w:rFonts w:ascii="Palatino Linotype" w:hAnsi="Palatino Linotype" w:cs="Bookman Old Style"/>
          <w:i/>
          <w:sz w:val="24"/>
          <w:szCs w:val="24"/>
          <w:lang w:val="es-ES"/>
        </w:rPr>
        <w:t>Se reciba una solicitud de acceso a la información;</w:t>
      </w:r>
    </w:p>
    <w:p w:rsidR="000161B6" w:rsidRPr="002021B7" w:rsidRDefault="000161B6" w:rsidP="000161B6">
      <w:pPr>
        <w:autoSpaceDE w:val="0"/>
        <w:autoSpaceDN w:val="0"/>
        <w:adjustRightInd w:val="0"/>
        <w:spacing w:after="0" w:line="360" w:lineRule="auto"/>
        <w:ind w:left="567" w:right="616"/>
        <w:jc w:val="both"/>
        <w:rPr>
          <w:rFonts w:ascii="Palatino Linotype" w:hAnsi="Palatino Linotype" w:cs="Bookman Old Style"/>
          <w:i/>
          <w:sz w:val="24"/>
          <w:szCs w:val="24"/>
          <w:lang w:val="es-ES"/>
        </w:rPr>
      </w:pPr>
      <w:r w:rsidRPr="002021B7">
        <w:rPr>
          <w:rFonts w:ascii="Palatino Linotype" w:hAnsi="Palatino Linotype" w:cs="Bookman Old Style,Bold"/>
          <w:b/>
          <w:bCs/>
          <w:i/>
          <w:sz w:val="24"/>
          <w:szCs w:val="24"/>
          <w:lang w:val="es-ES"/>
        </w:rPr>
        <w:t xml:space="preserve">II. </w:t>
      </w:r>
      <w:r w:rsidRPr="002021B7">
        <w:rPr>
          <w:rFonts w:ascii="Palatino Linotype" w:hAnsi="Palatino Linotype" w:cs="Bookman Old Style"/>
          <w:i/>
          <w:sz w:val="24"/>
          <w:szCs w:val="24"/>
          <w:lang w:val="es-ES"/>
        </w:rPr>
        <w:t>Se determine mediante resolución de autoridad competente; o</w:t>
      </w:r>
    </w:p>
    <w:p w:rsidR="000161B6" w:rsidRPr="002021B7" w:rsidRDefault="000161B6" w:rsidP="000161B6">
      <w:pPr>
        <w:autoSpaceDE w:val="0"/>
        <w:autoSpaceDN w:val="0"/>
        <w:adjustRightInd w:val="0"/>
        <w:spacing w:after="0" w:line="360" w:lineRule="auto"/>
        <w:ind w:left="567" w:right="616"/>
        <w:jc w:val="both"/>
        <w:rPr>
          <w:rFonts w:ascii="Palatino Linotype" w:hAnsi="Palatino Linotype" w:cs="Bookman Old Style"/>
          <w:i/>
          <w:sz w:val="24"/>
          <w:szCs w:val="24"/>
          <w:lang w:val="es-ES"/>
        </w:rPr>
      </w:pPr>
      <w:r w:rsidRPr="002021B7">
        <w:rPr>
          <w:rFonts w:ascii="Palatino Linotype" w:hAnsi="Palatino Linotype" w:cs="Bookman Old Style,Bold"/>
          <w:b/>
          <w:bCs/>
          <w:i/>
          <w:sz w:val="24"/>
          <w:szCs w:val="24"/>
          <w:lang w:val="es-ES"/>
        </w:rPr>
        <w:t xml:space="preserve">III. </w:t>
      </w:r>
      <w:r w:rsidRPr="002021B7">
        <w:rPr>
          <w:rFonts w:ascii="Palatino Linotype" w:hAnsi="Palatino Linotype" w:cs="Bookman Old Style"/>
          <w:i/>
          <w:sz w:val="24"/>
          <w:szCs w:val="24"/>
          <w:lang w:val="es-ES"/>
        </w:rPr>
        <w:t>Se generen versiones públicas para dar cumplimiento a las obligaciones de transparencia previstas en esta Ley.</w:t>
      </w:r>
    </w:p>
    <w:p w:rsidR="000161B6" w:rsidRPr="002021B7" w:rsidRDefault="000161B6" w:rsidP="000161B6">
      <w:pPr>
        <w:autoSpaceDE w:val="0"/>
        <w:autoSpaceDN w:val="0"/>
        <w:adjustRightInd w:val="0"/>
        <w:spacing w:after="0" w:line="360" w:lineRule="auto"/>
        <w:ind w:left="567" w:right="616"/>
        <w:jc w:val="both"/>
        <w:rPr>
          <w:rFonts w:ascii="Palatino Linotype" w:hAnsi="Palatino Linotype" w:cs="Bookman Old Style"/>
          <w:i/>
          <w:sz w:val="24"/>
          <w:szCs w:val="24"/>
          <w:lang w:val="es-ES"/>
        </w:rPr>
      </w:pPr>
    </w:p>
    <w:p w:rsidR="000161B6" w:rsidRPr="002021B7" w:rsidRDefault="000161B6" w:rsidP="000161B6">
      <w:pPr>
        <w:autoSpaceDE w:val="0"/>
        <w:autoSpaceDN w:val="0"/>
        <w:adjustRightInd w:val="0"/>
        <w:spacing w:after="0" w:line="360" w:lineRule="auto"/>
        <w:ind w:left="567" w:right="616"/>
        <w:jc w:val="both"/>
        <w:rPr>
          <w:rFonts w:ascii="Palatino Linotype" w:hAnsi="Palatino Linotype"/>
          <w:i/>
          <w:sz w:val="24"/>
          <w:szCs w:val="24"/>
        </w:rPr>
      </w:pPr>
      <w:r w:rsidRPr="002021B7">
        <w:rPr>
          <w:rFonts w:ascii="Palatino Linotype" w:hAnsi="Palatino Linotype" w:cs="Bookman Old Style"/>
          <w:i/>
          <w:sz w:val="24"/>
          <w:szCs w:val="24"/>
          <w:lang w:val="es-ES"/>
        </w:rPr>
        <w:t>Tratándose de información reservada, los titulares de las áreas deberán revisar la clasificación al momento de la recepción de una solicitud, para verificar si subsisten las causas que le dieron origen.</w:t>
      </w: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lastRenderedPageBreak/>
        <w:t>En ese sentido, resulta importante señalar actuando conforme a derecho, la clasificación de la información es dable al momento de recibir una solicitud de información, o en su defecto, si ya anteriormente la información fue clasificada como reservada, las áreas deberán revisar si aún subsisten las causas que le dieron origen. En otras palabras, la clasificación de la información no puede ser efectuada en el momento en que la autoridad lo desee, sino a menos que exista un elemento que active el análisis de la información y derivado a la naturaleza de la información nos conduzca a su clasificación.</w:t>
      </w:r>
    </w:p>
    <w:p w:rsidR="000161B6" w:rsidRPr="002021B7" w:rsidRDefault="000161B6" w:rsidP="000161B6">
      <w:pPr>
        <w:pStyle w:val="Prrafodelista"/>
        <w:spacing w:line="360" w:lineRule="auto"/>
        <w:ind w:left="426"/>
        <w:jc w:val="both"/>
        <w:rPr>
          <w:rFonts w:ascii="Palatino Linotype" w:hAnsi="Palatino Linotype"/>
          <w:sz w:val="24"/>
          <w:szCs w:val="24"/>
        </w:rPr>
      </w:pPr>
    </w:p>
    <w:p w:rsidR="000161B6" w:rsidRPr="002021B7" w:rsidRDefault="000161B6" w:rsidP="000161B6">
      <w:pPr>
        <w:pStyle w:val="Prrafodelista"/>
        <w:numPr>
          <w:ilvl w:val="0"/>
          <w:numId w:val="11"/>
        </w:numPr>
        <w:spacing w:line="360" w:lineRule="auto"/>
        <w:ind w:left="426"/>
        <w:jc w:val="both"/>
        <w:rPr>
          <w:rFonts w:ascii="Palatino Linotype" w:hAnsi="Palatino Linotype"/>
          <w:sz w:val="24"/>
          <w:szCs w:val="24"/>
        </w:rPr>
      </w:pPr>
      <w:r w:rsidRPr="002021B7">
        <w:rPr>
          <w:rFonts w:ascii="Palatino Linotype" w:hAnsi="Palatino Linotype"/>
          <w:sz w:val="24"/>
          <w:szCs w:val="24"/>
        </w:rPr>
        <w:t>No obstante, existen bastos supuestos en los que la clasificación de la información como reservada debe ser efectuada, sin embargo, en todos los casos debe ser generada cuando se aprecien elementos concretos que nos ayuden a tener certeza de que se está llevando a cabo una correcta clasificación de la información conforme a lo establecido en la Ley Estatal y Ley General de Transparencia.</w:t>
      </w:r>
    </w:p>
    <w:p w:rsidR="000161B6" w:rsidRPr="002021B7" w:rsidRDefault="000161B6" w:rsidP="000161B6">
      <w:pPr>
        <w:pStyle w:val="Prrafodelista"/>
        <w:ind w:left="426"/>
        <w:rPr>
          <w:rFonts w:ascii="Palatino Linotype" w:hAnsi="Palatino Linotype"/>
          <w:sz w:val="24"/>
          <w:szCs w:val="24"/>
        </w:rPr>
      </w:pPr>
    </w:p>
    <w:p w:rsidR="004074C0" w:rsidRPr="00CB2E7B" w:rsidRDefault="00F7333F" w:rsidP="00526BA8">
      <w:pPr>
        <w:pStyle w:val="Ttulo1"/>
        <w:numPr>
          <w:ilvl w:val="0"/>
          <w:numId w:val="43"/>
        </w:numPr>
        <w:rPr>
          <w:szCs w:val="24"/>
        </w:rPr>
      </w:pPr>
      <w:bookmarkStart w:id="11" w:name="_Toc273080"/>
      <w:r w:rsidRPr="00CB2E7B">
        <w:rPr>
          <w:szCs w:val="24"/>
        </w:rPr>
        <w:t>Conclusión.</w:t>
      </w:r>
      <w:bookmarkEnd w:id="11"/>
    </w:p>
    <w:p w:rsidR="00771F1D" w:rsidRPr="00CB2E7B" w:rsidRDefault="00771F1D" w:rsidP="00530CB3">
      <w:pPr>
        <w:ind w:left="426"/>
        <w:rPr>
          <w:rFonts w:ascii="Palatino Linotype" w:hAnsi="Palatino Linotype"/>
          <w:sz w:val="24"/>
          <w:szCs w:val="24"/>
        </w:rPr>
      </w:pPr>
    </w:p>
    <w:p w:rsidR="00CB2E7B" w:rsidRPr="000161B6" w:rsidRDefault="00184A6D" w:rsidP="00D067DE">
      <w:pPr>
        <w:numPr>
          <w:ilvl w:val="0"/>
          <w:numId w:val="11"/>
        </w:numPr>
        <w:spacing w:after="0" w:line="360" w:lineRule="auto"/>
        <w:ind w:left="426" w:hanging="426"/>
        <w:contextualSpacing/>
        <w:jc w:val="both"/>
        <w:rPr>
          <w:rFonts w:ascii="Palatino Linotype" w:hAnsi="Palatino Linotype" w:cs="Arial"/>
          <w:sz w:val="24"/>
          <w:szCs w:val="24"/>
        </w:rPr>
      </w:pPr>
      <w:r>
        <w:rPr>
          <w:rFonts w:ascii="Palatino Linotype" w:eastAsia="Calibri" w:hAnsi="Palatino Linotype" w:cs="Arial"/>
          <w:sz w:val="24"/>
          <w:szCs w:val="24"/>
        </w:rPr>
        <w:t>E</w:t>
      </w:r>
      <w:r w:rsidR="003B4A57" w:rsidRPr="00DB2E2D">
        <w:rPr>
          <w:rFonts w:ascii="Palatino Linotype" w:eastAsia="Calibri" w:hAnsi="Palatino Linotype" w:cs="Arial"/>
          <w:sz w:val="24"/>
          <w:szCs w:val="24"/>
        </w:rPr>
        <w:t xml:space="preserv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w:t>
      </w:r>
      <w:r w:rsidR="003B4A57" w:rsidRPr="00DB2E2D">
        <w:rPr>
          <w:rFonts w:ascii="Palatino Linotype" w:eastAsia="Calibri" w:hAnsi="Palatino Linotype" w:cs="Arial"/>
          <w:sz w:val="24"/>
          <w:szCs w:val="24"/>
        </w:rPr>
        <w:lastRenderedPageBreak/>
        <w:t>estricto apego a derecho, de lo contrario este instituto como Órgano Garante contribuiría a la afectación al derecho de acceso a la información de los particulares al consentir tales deficiencias por parte de los Sujetos Obligados.</w:t>
      </w:r>
    </w:p>
    <w:p w:rsidR="000161B6" w:rsidRPr="000161B6" w:rsidRDefault="000161B6" w:rsidP="000161B6">
      <w:pPr>
        <w:spacing w:after="0" w:line="360" w:lineRule="auto"/>
        <w:ind w:left="426"/>
        <w:contextualSpacing/>
        <w:jc w:val="both"/>
        <w:rPr>
          <w:rFonts w:ascii="Palatino Linotype" w:hAnsi="Palatino Linotype" w:cs="Arial"/>
          <w:sz w:val="24"/>
          <w:szCs w:val="24"/>
        </w:rPr>
      </w:pPr>
    </w:p>
    <w:p w:rsidR="000161B6" w:rsidRPr="000161B6" w:rsidRDefault="000161B6" w:rsidP="000161B6">
      <w:pPr>
        <w:numPr>
          <w:ilvl w:val="0"/>
          <w:numId w:val="11"/>
        </w:numPr>
        <w:spacing w:after="0" w:line="360" w:lineRule="auto"/>
        <w:ind w:left="426" w:hanging="426"/>
        <w:contextualSpacing/>
        <w:jc w:val="both"/>
        <w:rPr>
          <w:rFonts w:ascii="Palatino Linotype" w:hAnsi="Palatino Linotype" w:cs="Arial"/>
          <w:sz w:val="24"/>
          <w:szCs w:val="24"/>
        </w:rPr>
      </w:pPr>
      <w:r>
        <w:rPr>
          <w:rFonts w:ascii="Palatino Linotype" w:hAnsi="Palatino Linotype"/>
          <w:sz w:val="24"/>
          <w:szCs w:val="24"/>
        </w:rPr>
        <w:t>No debió incorporarse el apartado que da pie a que, de ser el caso de que la información actualice algu</w:t>
      </w:r>
      <w:r w:rsidR="00B82949">
        <w:rPr>
          <w:rFonts w:ascii="Palatino Linotype" w:hAnsi="Palatino Linotype"/>
          <w:sz w:val="24"/>
          <w:szCs w:val="24"/>
        </w:rPr>
        <w:t>na causal de reserva, se elabore</w:t>
      </w:r>
      <w:r>
        <w:rPr>
          <w:rFonts w:ascii="Palatino Linotype" w:hAnsi="Palatino Linotype"/>
          <w:sz w:val="24"/>
          <w:szCs w:val="24"/>
        </w:rPr>
        <w:t xml:space="preserve"> y ponga a disposición del particular el acuerdo que emita el Comité de Transparencia, toda vez que no es obligación de este Órgano Garante prever situaciones de clasificación, sino que, corresponde al Sujeto Obligado </w:t>
      </w:r>
      <w:r w:rsidR="00B82949">
        <w:rPr>
          <w:rFonts w:ascii="Palatino Linotype" w:hAnsi="Palatino Linotype"/>
          <w:sz w:val="24"/>
          <w:szCs w:val="24"/>
        </w:rPr>
        <w:t>manifestar tal situación, lo cual en el presente asunto no ocurrió, sino por el contrario, existió una omisión de atender la solicitud.</w:t>
      </w:r>
    </w:p>
    <w:p w:rsidR="00B82949" w:rsidRDefault="00B82949" w:rsidP="003C1450">
      <w:pPr>
        <w:pStyle w:val="Prrafodelista"/>
        <w:rPr>
          <w:rFonts w:ascii="Palatino Linotype" w:hAnsi="Palatino Linotype" w:cs="Arial"/>
          <w:sz w:val="24"/>
          <w:szCs w:val="24"/>
        </w:rPr>
      </w:pPr>
    </w:p>
    <w:p w:rsidR="003C1450" w:rsidRDefault="003C1450" w:rsidP="003C1450"/>
    <w:p w:rsidR="00B82949" w:rsidRDefault="00B82949" w:rsidP="003C1450"/>
    <w:p w:rsidR="00B82949" w:rsidRDefault="00B82949" w:rsidP="003C1450"/>
    <w:p w:rsidR="00B82949" w:rsidRDefault="00B82949" w:rsidP="003C1450"/>
    <w:p w:rsidR="00B82949" w:rsidRDefault="00B82949" w:rsidP="003C1450"/>
    <w:p w:rsidR="00B82949" w:rsidRPr="004800C4" w:rsidRDefault="00B82949" w:rsidP="003C1450">
      <w:bookmarkStart w:id="12" w:name="_GoBack"/>
      <w:bookmarkEnd w:id="12"/>
    </w:p>
    <w:p w:rsidR="00625340" w:rsidRPr="00CB2E7B" w:rsidRDefault="007A14A8"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J</w:t>
      </w:r>
      <w:r w:rsidR="00625340" w:rsidRPr="00CB2E7B">
        <w:rPr>
          <w:rFonts w:ascii="Palatino Linotype" w:eastAsia="Calibri" w:hAnsi="Palatino Linotype" w:cs="Arial"/>
          <w:b/>
          <w:sz w:val="24"/>
          <w:szCs w:val="24"/>
        </w:rPr>
        <w:t>OSÉ GUADALUPE LUNA HERNÁNDEZ</w:t>
      </w:r>
    </w:p>
    <w:p w:rsidR="00625340" w:rsidRPr="00CB2E7B" w:rsidRDefault="009749F9"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C</w:t>
      </w:r>
      <w:r w:rsidR="00625340" w:rsidRPr="00CB2E7B">
        <w:rPr>
          <w:rFonts w:ascii="Palatino Linotype" w:eastAsia="Calibri" w:hAnsi="Palatino Linotype" w:cs="Arial"/>
          <w:b/>
          <w:sz w:val="24"/>
          <w:szCs w:val="24"/>
        </w:rPr>
        <w:t>OMISIONADO</w:t>
      </w:r>
    </w:p>
    <w:p w:rsidR="00E940EB" w:rsidRPr="00CB2E7B" w:rsidRDefault="00F15522" w:rsidP="003431E5">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(Rúbrica)</w:t>
      </w:r>
    </w:p>
    <w:p w:rsidR="00DB6CC1" w:rsidRPr="00CB2E7B" w:rsidRDefault="00DB6CC1" w:rsidP="00DB6CC1">
      <w:pPr>
        <w:spacing w:line="360" w:lineRule="auto"/>
        <w:rPr>
          <w:rFonts w:ascii="Palatino Linotype" w:hAnsi="Palatino Linotype"/>
          <w:sz w:val="24"/>
          <w:szCs w:val="24"/>
        </w:rPr>
      </w:pPr>
      <w:r w:rsidRPr="00CB2E7B">
        <w:rPr>
          <w:rFonts w:ascii="Palatino Linotype" w:eastAsia="Calibri" w:hAnsi="Palatino Linotype" w:cs="Arial"/>
          <w:b/>
          <w:sz w:val="24"/>
          <w:szCs w:val="24"/>
        </w:rPr>
        <w:t>JGLH/ADM</w:t>
      </w:r>
    </w:p>
    <w:sectPr w:rsidR="00DB6CC1" w:rsidRPr="00CB2E7B" w:rsidSect="00267F73">
      <w:headerReference w:type="even" r:id="rId10"/>
      <w:headerReference w:type="default" r:id="rId11"/>
      <w:footerReference w:type="default" r:id="rId12"/>
      <w:head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F2A" w:rsidRDefault="00024F2A" w:rsidP="00DC559A">
      <w:pPr>
        <w:spacing w:after="0" w:line="240" w:lineRule="auto"/>
      </w:pPr>
      <w:r>
        <w:separator/>
      </w:r>
    </w:p>
  </w:endnote>
  <w:endnote w:type="continuationSeparator" w:id="0">
    <w:p w:rsidR="00024F2A" w:rsidRDefault="00024F2A"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2949">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2949">
              <w:rPr>
                <w:b/>
                <w:bCs/>
                <w:noProof/>
              </w:rPr>
              <w:t>41</w:t>
            </w:r>
            <w:r>
              <w:rPr>
                <w:b/>
                <w:bCs/>
                <w:sz w:val="24"/>
                <w:szCs w:val="24"/>
              </w:rPr>
              <w:fldChar w:fldCharType="end"/>
            </w:r>
          </w:p>
        </w:sdtContent>
      </w:sdt>
    </w:sdtContent>
  </w:sdt>
  <w:p w:rsidR="00951E8B" w:rsidRDefault="00024F2A"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F2A" w:rsidRDefault="00024F2A" w:rsidP="00DC559A">
      <w:pPr>
        <w:spacing w:after="0" w:line="240" w:lineRule="auto"/>
      </w:pPr>
      <w:r>
        <w:separator/>
      </w:r>
    </w:p>
  </w:footnote>
  <w:footnote w:type="continuationSeparator" w:id="0">
    <w:p w:rsidR="00024F2A" w:rsidRDefault="00024F2A" w:rsidP="00DC559A">
      <w:pPr>
        <w:spacing w:after="0" w:line="240" w:lineRule="auto"/>
      </w:pPr>
      <w:r>
        <w:continuationSeparator/>
      </w:r>
    </w:p>
  </w:footnote>
  <w:footnote w:id="1">
    <w:p w:rsidR="000161B6" w:rsidRDefault="000161B6" w:rsidP="000161B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0161B6" w:rsidRPr="00266430" w:rsidRDefault="000161B6" w:rsidP="000161B6">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2">
    <w:p w:rsidR="000161B6" w:rsidRPr="00A870EF" w:rsidRDefault="000161B6" w:rsidP="000161B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rsidR="000161B6" w:rsidRDefault="000161B6" w:rsidP="000161B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161B6" w:rsidRDefault="000161B6" w:rsidP="000161B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161B6" w:rsidRPr="001E1F95" w:rsidRDefault="000161B6" w:rsidP="000161B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0161B6" w:rsidRPr="00ED2A04" w:rsidRDefault="000161B6" w:rsidP="000161B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5">
    <w:p w:rsidR="000161B6" w:rsidRPr="00ED2A04" w:rsidRDefault="000161B6" w:rsidP="000161B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6">
    <w:p w:rsidR="000161B6" w:rsidRPr="000406A4" w:rsidRDefault="000161B6" w:rsidP="000161B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7">
    <w:p w:rsidR="000161B6" w:rsidRPr="000406A4" w:rsidRDefault="000161B6" w:rsidP="000161B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8">
    <w:p w:rsidR="000161B6" w:rsidRPr="000406A4" w:rsidRDefault="000161B6" w:rsidP="000161B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9">
    <w:p w:rsidR="000161B6" w:rsidRPr="000406A4" w:rsidRDefault="000161B6" w:rsidP="000161B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0">
    <w:p w:rsidR="000161B6" w:rsidRPr="000406A4" w:rsidRDefault="000161B6" w:rsidP="000161B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1">
    <w:p w:rsidR="000161B6" w:rsidRPr="00AF123A" w:rsidRDefault="000161B6" w:rsidP="000161B6">
      <w:pPr>
        <w:jc w:val="both"/>
        <w:rPr>
          <w:rFonts w:ascii="Times New Roman" w:eastAsia="Times New Roman" w:hAnsi="Times New Roman" w:cs="Times New Roman"/>
          <w:sz w:val="24"/>
          <w:szCs w:val="24"/>
          <w:lang w:val="es-ES_tradnl"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val="es-ES_tradnl"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val="es-ES_tradnl" w:eastAsia="es-ES_tradnl"/>
        </w:rPr>
        <w:t>tests</w:t>
      </w:r>
      <w:proofErr w:type="spellEnd"/>
      <w:r w:rsidRPr="00AF123A">
        <w:rPr>
          <w:rFonts w:ascii="Arial" w:eastAsia="Times New Roman" w:hAnsi="Arial" w:cs="Arial"/>
          <w:color w:val="333333"/>
          <w:sz w:val="18"/>
          <w:szCs w:val="18"/>
          <w:lang w:val="es-ES_tradnl"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val="es-ES_tradnl" w:eastAsia="es-ES_tradnl"/>
        </w:rPr>
        <w:t xml:space="preserve">” Citado en Corte Interamericana de Derechos Humanos. Caso Gonzales </w:t>
      </w:r>
      <w:proofErr w:type="spellStart"/>
      <w:r>
        <w:rPr>
          <w:rFonts w:ascii="Arial" w:eastAsia="Times New Roman" w:hAnsi="Arial" w:cs="Arial"/>
          <w:color w:val="333333"/>
          <w:sz w:val="18"/>
          <w:szCs w:val="18"/>
          <w:lang w:val="es-ES_tradnl" w:eastAsia="es-ES_tradnl"/>
        </w:rPr>
        <w:t>Lluy</w:t>
      </w:r>
      <w:proofErr w:type="spellEnd"/>
      <w:r>
        <w:rPr>
          <w:rFonts w:ascii="Arial" w:eastAsia="Times New Roman" w:hAnsi="Arial" w:cs="Arial"/>
          <w:color w:val="333333"/>
          <w:sz w:val="18"/>
          <w:szCs w:val="18"/>
          <w:lang w:val="es-ES_tradnl"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val="es-ES_tradnl" w:eastAsia="es-ES_tradnl"/>
        </w:rPr>
        <w:t> </w:t>
      </w:r>
    </w:p>
  </w:footnote>
  <w:footnote w:id="12">
    <w:p w:rsidR="000161B6" w:rsidRPr="00A4142C" w:rsidRDefault="000161B6" w:rsidP="000161B6">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24F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24F2A">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024F2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24F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6E24D2D"/>
    <w:multiLevelType w:val="hybridMultilevel"/>
    <w:tmpl w:val="0556F23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FF1E3E"/>
    <w:multiLevelType w:val="hybridMultilevel"/>
    <w:tmpl w:val="F5EC0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5816EB"/>
    <w:multiLevelType w:val="hybridMultilevel"/>
    <w:tmpl w:val="105E5BAA"/>
    <w:lvl w:ilvl="0" w:tplc="12FE0568">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7A603A1"/>
    <w:multiLevelType w:val="hybridMultilevel"/>
    <w:tmpl w:val="8A00CC1E"/>
    <w:lvl w:ilvl="0" w:tplc="E2DE1A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3A6D97"/>
    <w:multiLevelType w:val="hybridMultilevel"/>
    <w:tmpl w:val="DD1068DC"/>
    <w:lvl w:ilvl="0" w:tplc="FE90650C">
      <w:start w:val="1"/>
      <w:numFmt w:val="lowerLetter"/>
      <w:lvlText w:val="%1)"/>
      <w:lvlJc w:val="left"/>
      <w:pPr>
        <w:ind w:left="987" w:hanging="360"/>
      </w:pPr>
      <w:rPr>
        <w:rFonts w:eastAsia="Times New Roman"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2">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6D53B8"/>
    <w:multiLevelType w:val="hybridMultilevel"/>
    <w:tmpl w:val="88C44438"/>
    <w:lvl w:ilvl="0" w:tplc="3EFE09D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FC0F3F"/>
    <w:multiLevelType w:val="hybridMultilevel"/>
    <w:tmpl w:val="A156042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9A775E"/>
    <w:multiLevelType w:val="hybridMultilevel"/>
    <w:tmpl w:val="4030D592"/>
    <w:lvl w:ilvl="0" w:tplc="4AC6F410">
      <w:start w:val="8"/>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4">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28A5684"/>
    <w:multiLevelType w:val="hybridMultilevel"/>
    <w:tmpl w:val="8456589E"/>
    <w:lvl w:ilvl="0" w:tplc="3A288B2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46">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5"/>
  </w:num>
  <w:num w:numId="3">
    <w:abstractNumId w:val="34"/>
  </w:num>
  <w:num w:numId="4">
    <w:abstractNumId w:val="18"/>
  </w:num>
  <w:num w:numId="5">
    <w:abstractNumId w:val="41"/>
  </w:num>
  <w:num w:numId="6">
    <w:abstractNumId w:val="19"/>
  </w:num>
  <w:num w:numId="7">
    <w:abstractNumId w:val="40"/>
  </w:num>
  <w:num w:numId="8">
    <w:abstractNumId w:val="37"/>
  </w:num>
  <w:num w:numId="9">
    <w:abstractNumId w:val="14"/>
  </w:num>
  <w:num w:numId="10">
    <w:abstractNumId w:val="10"/>
  </w:num>
  <w:num w:numId="11">
    <w:abstractNumId w:val="15"/>
  </w:num>
  <w:num w:numId="12">
    <w:abstractNumId w:val="22"/>
  </w:num>
  <w:num w:numId="13">
    <w:abstractNumId w:val="29"/>
  </w:num>
  <w:num w:numId="14">
    <w:abstractNumId w:val="38"/>
  </w:num>
  <w:num w:numId="15">
    <w:abstractNumId w:val="3"/>
  </w:num>
  <w:num w:numId="16">
    <w:abstractNumId w:val="30"/>
  </w:num>
  <w:num w:numId="17">
    <w:abstractNumId w:val="12"/>
  </w:num>
  <w:num w:numId="18">
    <w:abstractNumId w:val="45"/>
  </w:num>
  <w:num w:numId="19">
    <w:abstractNumId w:val="20"/>
  </w:num>
  <w:num w:numId="20">
    <w:abstractNumId w:val="39"/>
  </w:num>
  <w:num w:numId="21">
    <w:abstractNumId w:val="33"/>
  </w:num>
  <w:num w:numId="22">
    <w:abstractNumId w:val="36"/>
  </w:num>
  <w:num w:numId="23">
    <w:abstractNumId w:val="26"/>
  </w:num>
  <w:num w:numId="24">
    <w:abstractNumId w:val="6"/>
  </w:num>
  <w:num w:numId="25">
    <w:abstractNumId w:val="44"/>
  </w:num>
  <w:num w:numId="26">
    <w:abstractNumId w:val="35"/>
  </w:num>
  <w:num w:numId="27">
    <w:abstractNumId w:val="32"/>
  </w:num>
  <w:num w:numId="28">
    <w:abstractNumId w:val="0"/>
  </w:num>
  <w:num w:numId="29">
    <w:abstractNumId w:val="21"/>
  </w:num>
  <w:num w:numId="30">
    <w:abstractNumId w:val="24"/>
  </w:num>
  <w:num w:numId="31">
    <w:abstractNumId w:val="7"/>
  </w:num>
  <w:num w:numId="32">
    <w:abstractNumId w:val="17"/>
  </w:num>
  <w:num w:numId="33">
    <w:abstractNumId w:val="28"/>
  </w:num>
  <w:num w:numId="34">
    <w:abstractNumId w:val="27"/>
  </w:num>
  <w:num w:numId="35">
    <w:abstractNumId w:val="13"/>
  </w:num>
  <w:num w:numId="36">
    <w:abstractNumId w:val="2"/>
  </w:num>
  <w:num w:numId="37">
    <w:abstractNumId w:val="9"/>
  </w:num>
  <w:num w:numId="38">
    <w:abstractNumId w:val="42"/>
  </w:num>
  <w:num w:numId="39">
    <w:abstractNumId w:val="1"/>
  </w:num>
  <w:num w:numId="40">
    <w:abstractNumId w:val="4"/>
  </w:num>
  <w:num w:numId="41">
    <w:abstractNumId w:val="43"/>
  </w:num>
  <w:num w:numId="42">
    <w:abstractNumId w:val="25"/>
  </w:num>
  <w:num w:numId="43">
    <w:abstractNumId w:val="46"/>
  </w:num>
  <w:num w:numId="44">
    <w:abstractNumId w:val="16"/>
  </w:num>
  <w:num w:numId="45">
    <w:abstractNumId w:val="11"/>
  </w:num>
  <w:num w:numId="46">
    <w:abstractNumId w:val="23"/>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161B6"/>
    <w:rsid w:val="0002112E"/>
    <w:rsid w:val="000227F4"/>
    <w:rsid w:val="00024F2A"/>
    <w:rsid w:val="00026199"/>
    <w:rsid w:val="0002684D"/>
    <w:rsid w:val="00037C7C"/>
    <w:rsid w:val="00064D2B"/>
    <w:rsid w:val="00085C1A"/>
    <w:rsid w:val="000A12BD"/>
    <w:rsid w:val="000A3711"/>
    <w:rsid w:val="000D5811"/>
    <w:rsid w:val="000D79A0"/>
    <w:rsid w:val="000E43AB"/>
    <w:rsid w:val="000F4071"/>
    <w:rsid w:val="000F5099"/>
    <w:rsid w:val="00123E07"/>
    <w:rsid w:val="00123E1D"/>
    <w:rsid w:val="00134DA0"/>
    <w:rsid w:val="00141135"/>
    <w:rsid w:val="00145961"/>
    <w:rsid w:val="001620F1"/>
    <w:rsid w:val="00175E9F"/>
    <w:rsid w:val="00183A1B"/>
    <w:rsid w:val="00184A6D"/>
    <w:rsid w:val="00187E2D"/>
    <w:rsid w:val="001B2F10"/>
    <w:rsid w:val="001B78B7"/>
    <w:rsid w:val="001D09E6"/>
    <w:rsid w:val="001D465C"/>
    <w:rsid w:val="001F1A7A"/>
    <w:rsid w:val="00203EB6"/>
    <w:rsid w:val="0020553B"/>
    <w:rsid w:val="00213DF0"/>
    <w:rsid w:val="00220BB9"/>
    <w:rsid w:val="00225758"/>
    <w:rsid w:val="002376B4"/>
    <w:rsid w:val="0025332E"/>
    <w:rsid w:val="00260A10"/>
    <w:rsid w:val="00267F73"/>
    <w:rsid w:val="00274EF3"/>
    <w:rsid w:val="00284349"/>
    <w:rsid w:val="002948E5"/>
    <w:rsid w:val="002959E9"/>
    <w:rsid w:val="002A6EF1"/>
    <w:rsid w:val="002B4023"/>
    <w:rsid w:val="002C430B"/>
    <w:rsid w:val="002D2CD0"/>
    <w:rsid w:val="002D5499"/>
    <w:rsid w:val="002D63B3"/>
    <w:rsid w:val="00300947"/>
    <w:rsid w:val="00306AE2"/>
    <w:rsid w:val="00311D9E"/>
    <w:rsid w:val="0031350A"/>
    <w:rsid w:val="00323DF8"/>
    <w:rsid w:val="00336BC3"/>
    <w:rsid w:val="00340665"/>
    <w:rsid w:val="0034151E"/>
    <w:rsid w:val="003431E5"/>
    <w:rsid w:val="0036287F"/>
    <w:rsid w:val="00384C92"/>
    <w:rsid w:val="00393382"/>
    <w:rsid w:val="0039566E"/>
    <w:rsid w:val="003B4A57"/>
    <w:rsid w:val="003B6EC6"/>
    <w:rsid w:val="003C1450"/>
    <w:rsid w:val="003C35BC"/>
    <w:rsid w:val="003C7564"/>
    <w:rsid w:val="003E275E"/>
    <w:rsid w:val="004058E2"/>
    <w:rsid w:val="004074C0"/>
    <w:rsid w:val="00432104"/>
    <w:rsid w:val="00435284"/>
    <w:rsid w:val="00460017"/>
    <w:rsid w:val="004665BF"/>
    <w:rsid w:val="004727BE"/>
    <w:rsid w:val="004800C4"/>
    <w:rsid w:val="0048383C"/>
    <w:rsid w:val="004A69D6"/>
    <w:rsid w:val="004B096A"/>
    <w:rsid w:val="004B4E07"/>
    <w:rsid w:val="004C273D"/>
    <w:rsid w:val="004C3125"/>
    <w:rsid w:val="004C6910"/>
    <w:rsid w:val="004C73FB"/>
    <w:rsid w:val="004D1010"/>
    <w:rsid w:val="004F3292"/>
    <w:rsid w:val="00517976"/>
    <w:rsid w:val="00526BA8"/>
    <w:rsid w:val="00530CB3"/>
    <w:rsid w:val="005429BB"/>
    <w:rsid w:val="00546237"/>
    <w:rsid w:val="005471F8"/>
    <w:rsid w:val="0056327C"/>
    <w:rsid w:val="00570DFF"/>
    <w:rsid w:val="00571B97"/>
    <w:rsid w:val="00585BED"/>
    <w:rsid w:val="0059666F"/>
    <w:rsid w:val="005A4257"/>
    <w:rsid w:val="005B54CA"/>
    <w:rsid w:val="005E324F"/>
    <w:rsid w:val="005E6A45"/>
    <w:rsid w:val="005F53BB"/>
    <w:rsid w:val="00602A7F"/>
    <w:rsid w:val="00611AB9"/>
    <w:rsid w:val="006207D7"/>
    <w:rsid w:val="00623541"/>
    <w:rsid w:val="00625340"/>
    <w:rsid w:val="00660259"/>
    <w:rsid w:val="006773C0"/>
    <w:rsid w:val="00684D61"/>
    <w:rsid w:val="006903DD"/>
    <w:rsid w:val="0069542E"/>
    <w:rsid w:val="006B5BD5"/>
    <w:rsid w:val="006D22C2"/>
    <w:rsid w:val="006E4346"/>
    <w:rsid w:val="006E775A"/>
    <w:rsid w:val="006E7A8B"/>
    <w:rsid w:val="006F18A4"/>
    <w:rsid w:val="00703F02"/>
    <w:rsid w:val="0070418E"/>
    <w:rsid w:val="00712288"/>
    <w:rsid w:val="00726689"/>
    <w:rsid w:val="00740D72"/>
    <w:rsid w:val="007477B8"/>
    <w:rsid w:val="00756A7F"/>
    <w:rsid w:val="00764FF6"/>
    <w:rsid w:val="007715FF"/>
    <w:rsid w:val="00771D7C"/>
    <w:rsid w:val="00771F1D"/>
    <w:rsid w:val="00781495"/>
    <w:rsid w:val="0078520D"/>
    <w:rsid w:val="0078690A"/>
    <w:rsid w:val="00787C3A"/>
    <w:rsid w:val="00797A7B"/>
    <w:rsid w:val="007A13C3"/>
    <w:rsid w:val="007A14A8"/>
    <w:rsid w:val="007A2EC0"/>
    <w:rsid w:val="007A6841"/>
    <w:rsid w:val="007B4C9B"/>
    <w:rsid w:val="007D5A9C"/>
    <w:rsid w:val="007D69A7"/>
    <w:rsid w:val="007E514B"/>
    <w:rsid w:val="0080047C"/>
    <w:rsid w:val="0080411B"/>
    <w:rsid w:val="008107BE"/>
    <w:rsid w:val="00815B5D"/>
    <w:rsid w:val="00824147"/>
    <w:rsid w:val="00841881"/>
    <w:rsid w:val="00870BA6"/>
    <w:rsid w:val="00890D79"/>
    <w:rsid w:val="008A491D"/>
    <w:rsid w:val="008B4955"/>
    <w:rsid w:val="008F435F"/>
    <w:rsid w:val="00900C7B"/>
    <w:rsid w:val="00917801"/>
    <w:rsid w:val="0092289B"/>
    <w:rsid w:val="00927436"/>
    <w:rsid w:val="00952495"/>
    <w:rsid w:val="00957F5D"/>
    <w:rsid w:val="00963FCC"/>
    <w:rsid w:val="00964B55"/>
    <w:rsid w:val="009749F9"/>
    <w:rsid w:val="00992F9E"/>
    <w:rsid w:val="00995EEC"/>
    <w:rsid w:val="009B6AAE"/>
    <w:rsid w:val="009C6D1F"/>
    <w:rsid w:val="009D4B91"/>
    <w:rsid w:val="009D5257"/>
    <w:rsid w:val="009E08AF"/>
    <w:rsid w:val="009F7309"/>
    <w:rsid w:val="009F7767"/>
    <w:rsid w:val="00A11153"/>
    <w:rsid w:val="00A143D1"/>
    <w:rsid w:val="00A2127D"/>
    <w:rsid w:val="00A37917"/>
    <w:rsid w:val="00A66803"/>
    <w:rsid w:val="00A67ADB"/>
    <w:rsid w:val="00A801BF"/>
    <w:rsid w:val="00A828B4"/>
    <w:rsid w:val="00A912FC"/>
    <w:rsid w:val="00A947EF"/>
    <w:rsid w:val="00AA45BE"/>
    <w:rsid w:val="00AC07BB"/>
    <w:rsid w:val="00AE30E5"/>
    <w:rsid w:val="00AE455C"/>
    <w:rsid w:val="00AE7918"/>
    <w:rsid w:val="00B02F56"/>
    <w:rsid w:val="00B06DD6"/>
    <w:rsid w:val="00B14EBC"/>
    <w:rsid w:val="00B17543"/>
    <w:rsid w:val="00B3063B"/>
    <w:rsid w:val="00B43601"/>
    <w:rsid w:val="00B47F96"/>
    <w:rsid w:val="00B76303"/>
    <w:rsid w:val="00B82949"/>
    <w:rsid w:val="00B87289"/>
    <w:rsid w:val="00BC3314"/>
    <w:rsid w:val="00BC7E6A"/>
    <w:rsid w:val="00BD29B2"/>
    <w:rsid w:val="00BD586B"/>
    <w:rsid w:val="00BE26FB"/>
    <w:rsid w:val="00BE6E85"/>
    <w:rsid w:val="00BF0ED2"/>
    <w:rsid w:val="00C00F08"/>
    <w:rsid w:val="00C02AF0"/>
    <w:rsid w:val="00C137A0"/>
    <w:rsid w:val="00C142A8"/>
    <w:rsid w:val="00C230CB"/>
    <w:rsid w:val="00C31FAC"/>
    <w:rsid w:val="00C320A9"/>
    <w:rsid w:val="00C42733"/>
    <w:rsid w:val="00C54DC0"/>
    <w:rsid w:val="00C60B48"/>
    <w:rsid w:val="00C75139"/>
    <w:rsid w:val="00C91DDB"/>
    <w:rsid w:val="00CA1D90"/>
    <w:rsid w:val="00CB290D"/>
    <w:rsid w:val="00CB2E7B"/>
    <w:rsid w:val="00CD3FD7"/>
    <w:rsid w:val="00CD49FA"/>
    <w:rsid w:val="00CD65AA"/>
    <w:rsid w:val="00CD766A"/>
    <w:rsid w:val="00CD77B9"/>
    <w:rsid w:val="00CE64A4"/>
    <w:rsid w:val="00CE6C44"/>
    <w:rsid w:val="00CF05D3"/>
    <w:rsid w:val="00D02606"/>
    <w:rsid w:val="00D0514A"/>
    <w:rsid w:val="00D13632"/>
    <w:rsid w:val="00D35091"/>
    <w:rsid w:val="00D42114"/>
    <w:rsid w:val="00D4328A"/>
    <w:rsid w:val="00D4396D"/>
    <w:rsid w:val="00D5029F"/>
    <w:rsid w:val="00D60041"/>
    <w:rsid w:val="00D62508"/>
    <w:rsid w:val="00D7244B"/>
    <w:rsid w:val="00D72D15"/>
    <w:rsid w:val="00D91003"/>
    <w:rsid w:val="00DA1785"/>
    <w:rsid w:val="00DA4B4E"/>
    <w:rsid w:val="00DB2E2D"/>
    <w:rsid w:val="00DB6CC1"/>
    <w:rsid w:val="00DC35D1"/>
    <w:rsid w:val="00DC559A"/>
    <w:rsid w:val="00DE456D"/>
    <w:rsid w:val="00DF36B0"/>
    <w:rsid w:val="00E015EC"/>
    <w:rsid w:val="00E3333F"/>
    <w:rsid w:val="00E40A86"/>
    <w:rsid w:val="00E419FE"/>
    <w:rsid w:val="00E52153"/>
    <w:rsid w:val="00E56EEA"/>
    <w:rsid w:val="00E61BE7"/>
    <w:rsid w:val="00E661C7"/>
    <w:rsid w:val="00E85FDE"/>
    <w:rsid w:val="00E940EB"/>
    <w:rsid w:val="00E94D66"/>
    <w:rsid w:val="00E96644"/>
    <w:rsid w:val="00E974FA"/>
    <w:rsid w:val="00EA3ED5"/>
    <w:rsid w:val="00ED4F35"/>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67EC8"/>
    <w:rsid w:val="00F72C33"/>
    <w:rsid w:val="00F72F39"/>
    <w:rsid w:val="00F7333F"/>
    <w:rsid w:val="00F77A03"/>
    <w:rsid w:val="00F84DA1"/>
    <w:rsid w:val="00F96926"/>
    <w:rsid w:val="00F9751B"/>
    <w:rsid w:val="00FA00F2"/>
    <w:rsid w:val="00FA79F7"/>
    <w:rsid w:val="00FB30FD"/>
    <w:rsid w:val="00FB4059"/>
    <w:rsid w:val="00FC0FE3"/>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 w:type="character" w:customStyle="1" w:styleId="apple-converted-space">
    <w:name w:val="apple-converted-space"/>
    <w:basedOn w:val="Fuentedeprrafopredeter"/>
    <w:rsid w:val="000A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E948-FEFA-4EC1-BAD1-A720FEE8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41</Pages>
  <Words>7281</Words>
  <Characters>40046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47233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3</cp:revision>
  <cp:lastPrinted>2016-12-19T23:14:00Z</cp:lastPrinted>
  <dcterms:created xsi:type="dcterms:W3CDTF">2019-02-05T20:34:00Z</dcterms:created>
  <dcterms:modified xsi:type="dcterms:W3CDTF">2019-02-05T21:32:00Z</dcterms:modified>
</cp:coreProperties>
</file>